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43B0E" w14:textId="46D679BA" w:rsidR="006D3752" w:rsidRPr="008E61B8" w:rsidRDefault="006D3752" w:rsidP="006D3752">
      <w:pPr>
        <w:spacing w:after="120"/>
        <w:jc w:val="center"/>
        <w:rPr>
          <w:sz w:val="24"/>
          <w:szCs w:val="24"/>
        </w:rPr>
      </w:pPr>
      <w:r w:rsidRPr="008E61B8">
        <w:rPr>
          <w:noProof/>
          <w:sz w:val="24"/>
          <w:szCs w:val="24"/>
          <w:lang w:eastAsia="el-GR"/>
        </w:rPr>
        <w:drawing>
          <wp:inline distT="0" distB="0" distL="0" distR="0" wp14:anchorId="02E9A178" wp14:editId="59C071B1">
            <wp:extent cx="678180" cy="68580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 cy="685800"/>
                    </a:xfrm>
                    <a:prstGeom prst="rect">
                      <a:avLst/>
                    </a:prstGeom>
                    <a:noFill/>
                    <a:ln>
                      <a:noFill/>
                    </a:ln>
                  </pic:spPr>
                </pic:pic>
              </a:graphicData>
            </a:graphic>
          </wp:inline>
        </w:drawing>
      </w:r>
    </w:p>
    <w:p w14:paraId="69BA6659" w14:textId="77777777" w:rsidR="006D3752" w:rsidRPr="008E61B8" w:rsidRDefault="006D3752" w:rsidP="006D3752">
      <w:pPr>
        <w:spacing w:after="80"/>
        <w:jc w:val="center"/>
        <w:rPr>
          <w:b/>
          <w:spacing w:val="30"/>
          <w:sz w:val="24"/>
          <w:szCs w:val="24"/>
          <w:lang w:val="en-US"/>
        </w:rPr>
      </w:pPr>
      <w:r w:rsidRPr="008E61B8">
        <w:rPr>
          <w:b/>
          <w:spacing w:val="30"/>
          <w:sz w:val="24"/>
          <w:szCs w:val="24"/>
          <w:lang w:val="en-US"/>
        </w:rPr>
        <w:t>HELLENIC REPUBLIC</w:t>
      </w:r>
    </w:p>
    <w:p w14:paraId="2EF54225" w14:textId="77777777" w:rsidR="006D3752" w:rsidRPr="008E61B8" w:rsidRDefault="006D3752" w:rsidP="006D3752">
      <w:pPr>
        <w:spacing w:after="80"/>
        <w:jc w:val="center"/>
        <w:rPr>
          <w:b/>
          <w:spacing w:val="30"/>
          <w:sz w:val="24"/>
          <w:szCs w:val="24"/>
          <w:lang w:val="en-US"/>
        </w:rPr>
      </w:pPr>
      <w:r w:rsidRPr="008E61B8">
        <w:rPr>
          <w:b/>
          <w:spacing w:val="30"/>
          <w:sz w:val="24"/>
          <w:szCs w:val="24"/>
          <w:lang w:val="en-US"/>
        </w:rPr>
        <w:t>UNIVERSITY OF THESSALY</w:t>
      </w:r>
    </w:p>
    <w:p w14:paraId="11F748CE" w14:textId="77777777" w:rsidR="006D3752" w:rsidRPr="008E61B8" w:rsidRDefault="006D3752" w:rsidP="006D3752">
      <w:pPr>
        <w:spacing w:after="80"/>
        <w:jc w:val="center"/>
        <w:rPr>
          <w:b/>
          <w:sz w:val="24"/>
          <w:szCs w:val="24"/>
          <w:lang w:val="en-US"/>
        </w:rPr>
      </w:pPr>
      <w:r w:rsidRPr="008E61B8">
        <w:rPr>
          <w:b/>
          <w:sz w:val="24"/>
          <w:szCs w:val="24"/>
          <w:lang w:val="en-US"/>
        </w:rPr>
        <w:t>SCHOOL OF ECONOMICS AND MANAGEMENT SCIENCES</w:t>
      </w:r>
    </w:p>
    <w:p w14:paraId="56B0C5A0" w14:textId="77777777" w:rsidR="006D3752" w:rsidRPr="008E61B8" w:rsidRDefault="006D3752" w:rsidP="006D3752">
      <w:pPr>
        <w:spacing w:after="80"/>
        <w:jc w:val="center"/>
        <w:rPr>
          <w:b/>
          <w:sz w:val="28"/>
          <w:szCs w:val="28"/>
          <w:lang w:val="en-US"/>
        </w:rPr>
      </w:pPr>
      <w:r w:rsidRPr="008E61B8">
        <w:rPr>
          <w:b/>
          <w:sz w:val="28"/>
          <w:szCs w:val="28"/>
          <w:lang w:val="en-US"/>
        </w:rPr>
        <w:t>DEPARTMENT OF BUSINESS ADMINISTRATION</w:t>
      </w:r>
    </w:p>
    <w:p w14:paraId="569A6D35" w14:textId="77777777" w:rsidR="006D3752" w:rsidRPr="008E61B8" w:rsidRDefault="006D3752" w:rsidP="006D3752">
      <w:pPr>
        <w:spacing w:after="80"/>
        <w:jc w:val="center"/>
        <w:rPr>
          <w:b/>
          <w:sz w:val="24"/>
          <w:szCs w:val="24"/>
          <w:lang w:val="en-US"/>
        </w:rPr>
      </w:pPr>
    </w:p>
    <w:p w14:paraId="5C71A2CD" w14:textId="553C2E44" w:rsidR="006D3752" w:rsidRPr="008E61B8" w:rsidRDefault="008E61B8" w:rsidP="006D3752">
      <w:pPr>
        <w:pStyle w:val="7"/>
        <w:spacing w:before="0" w:after="120"/>
        <w:ind w:right="45"/>
        <w:jc w:val="center"/>
        <w:rPr>
          <w:rFonts w:ascii="Segoe UI" w:hAnsi="Segoe UI" w:cs="Segoe UI"/>
          <w:lang w:val="en-US"/>
        </w:rPr>
      </w:pPr>
      <w:r w:rsidRPr="008E61B8">
        <w:rPr>
          <w:rFonts w:ascii="Calibri" w:eastAsia="Times New Roman" w:hAnsi="Calibri"/>
          <w:b/>
          <w:sz w:val="28"/>
          <w:szCs w:val="20"/>
          <w:lang w:val="en-US" w:eastAsia="en-US"/>
        </w:rPr>
        <w:t>"MSc in Government Digital Innovation and Transformation"</w:t>
      </w:r>
    </w:p>
    <w:p w14:paraId="0E7F87D0" w14:textId="77777777" w:rsidR="006D3752" w:rsidRPr="008E61B8" w:rsidRDefault="006D3752" w:rsidP="006D3752">
      <w:pPr>
        <w:jc w:val="center"/>
        <w:rPr>
          <w:rFonts w:ascii="Times New Roman" w:hAnsi="Times New Roman" w:cs="Times New Roman"/>
          <w:b/>
          <w:bCs/>
          <w:sz w:val="40"/>
          <w:szCs w:val="40"/>
          <w:lang w:val="en-US" w:eastAsia="zh-CN"/>
        </w:rPr>
      </w:pPr>
    </w:p>
    <w:p w14:paraId="4D89FB45" w14:textId="77777777" w:rsidR="006D3752" w:rsidRPr="008E61B8" w:rsidRDefault="006D3752" w:rsidP="006D3752">
      <w:pPr>
        <w:jc w:val="center"/>
        <w:rPr>
          <w:rFonts w:ascii="Times New Roman" w:hAnsi="Times New Roman"/>
          <w:b/>
          <w:bCs/>
          <w:sz w:val="40"/>
          <w:szCs w:val="40"/>
          <w:lang w:val="en-US" w:eastAsia="zh-CN"/>
        </w:rPr>
      </w:pPr>
    </w:p>
    <w:p w14:paraId="4179758F" w14:textId="77777777" w:rsidR="006D3752" w:rsidRPr="008E61B8" w:rsidRDefault="006D3752" w:rsidP="006D3752">
      <w:pPr>
        <w:jc w:val="center"/>
        <w:rPr>
          <w:rFonts w:ascii="Times New Roman" w:hAnsi="Times New Roman"/>
          <w:b/>
          <w:bCs/>
          <w:sz w:val="40"/>
          <w:szCs w:val="40"/>
          <w:lang w:val="en-US" w:eastAsia="zh-CN"/>
        </w:rPr>
      </w:pPr>
    </w:p>
    <w:p w14:paraId="6B9FD393" w14:textId="77777777" w:rsidR="006D3752" w:rsidRPr="008E61B8" w:rsidRDefault="006D3752" w:rsidP="006D3752">
      <w:pPr>
        <w:jc w:val="center"/>
        <w:rPr>
          <w:rFonts w:ascii="Calibri" w:hAnsi="Calibri" w:cs="Calibri"/>
          <w:b/>
          <w:sz w:val="52"/>
          <w:szCs w:val="52"/>
          <w:lang w:val="en-US" w:eastAsia="zh-CN"/>
        </w:rPr>
      </w:pPr>
      <w:r w:rsidRPr="008E61B8">
        <w:rPr>
          <w:rFonts w:cs="Calibri"/>
          <w:b/>
          <w:sz w:val="52"/>
          <w:szCs w:val="52"/>
          <w:lang w:val="en-US" w:eastAsia="zh-CN"/>
        </w:rPr>
        <w:t>OPERATING RULES</w:t>
      </w:r>
    </w:p>
    <w:p w14:paraId="6D84AC6E" w14:textId="231938C1" w:rsidR="006D3752" w:rsidRPr="008E61B8" w:rsidRDefault="006D3752" w:rsidP="006D3752">
      <w:pPr>
        <w:jc w:val="center"/>
        <w:rPr>
          <w:rFonts w:cs="Calibri"/>
          <w:b/>
          <w:bCs/>
          <w:sz w:val="28"/>
          <w:szCs w:val="28"/>
          <w:lang w:val="en-US" w:eastAsia="zh-CN"/>
        </w:rPr>
      </w:pPr>
      <w:r w:rsidRPr="008E61B8">
        <w:rPr>
          <w:rFonts w:cs="Calibri"/>
          <w:b/>
          <w:bCs/>
          <w:sz w:val="28"/>
          <w:szCs w:val="28"/>
          <w:lang w:val="en-US" w:eastAsia="zh-CN"/>
        </w:rPr>
        <w:t>POSTGRADUATE PROGRAMME</w:t>
      </w:r>
    </w:p>
    <w:p w14:paraId="15D7E5E2" w14:textId="583CEB3F" w:rsidR="006D3752" w:rsidRPr="008E61B8" w:rsidRDefault="008E61B8" w:rsidP="006D3752">
      <w:pPr>
        <w:jc w:val="center"/>
        <w:rPr>
          <w:rFonts w:cs="Calibri"/>
          <w:b/>
          <w:bCs/>
          <w:sz w:val="28"/>
          <w:szCs w:val="28"/>
          <w:lang w:val="en-US" w:eastAsia="zh-CN"/>
        </w:rPr>
      </w:pPr>
      <w:r w:rsidRPr="008E61B8">
        <w:rPr>
          <w:rFonts w:cs="Calibri"/>
          <w:b/>
          <w:bCs/>
          <w:sz w:val="28"/>
          <w:szCs w:val="28"/>
          <w:lang w:val="en-US" w:eastAsia="zh-CN"/>
        </w:rPr>
        <w:t>"</w:t>
      </w:r>
      <w:r w:rsidRPr="008E61B8">
        <w:rPr>
          <w:rFonts w:cs="Calibri"/>
          <w:b/>
          <w:bCs/>
          <w:i/>
          <w:sz w:val="28"/>
          <w:szCs w:val="28"/>
          <w:lang w:val="en-US" w:eastAsia="zh-CN"/>
        </w:rPr>
        <w:t>MSc in Government Digital Innovation and Transformation</w:t>
      </w:r>
      <w:r w:rsidR="006D3752" w:rsidRPr="008E61B8">
        <w:rPr>
          <w:rFonts w:cs="Calibri"/>
          <w:b/>
          <w:bCs/>
          <w:sz w:val="28"/>
          <w:szCs w:val="28"/>
          <w:lang w:val="en-US" w:eastAsia="zh-CN"/>
        </w:rPr>
        <w:t>"</w:t>
      </w:r>
    </w:p>
    <w:p w14:paraId="169AD490" w14:textId="77777777" w:rsidR="006D3752" w:rsidRPr="008E61B8" w:rsidRDefault="006D3752" w:rsidP="006D3752">
      <w:pPr>
        <w:jc w:val="center"/>
        <w:rPr>
          <w:rFonts w:cs="Calibri"/>
          <w:b/>
          <w:bCs/>
          <w:sz w:val="28"/>
          <w:szCs w:val="28"/>
          <w:lang w:val="en-US" w:eastAsia="zh-CN"/>
        </w:rPr>
      </w:pPr>
      <w:r w:rsidRPr="008E61B8">
        <w:rPr>
          <w:rFonts w:cs="Calibri"/>
          <w:b/>
          <w:bCs/>
          <w:sz w:val="28"/>
          <w:szCs w:val="28"/>
          <w:lang w:val="en-US" w:eastAsia="zh-CN"/>
        </w:rPr>
        <w:t xml:space="preserve"> (according to the provisions of Law 4957/2022)</w:t>
      </w:r>
    </w:p>
    <w:p w14:paraId="4CD95A66" w14:textId="77777777" w:rsidR="006D3752" w:rsidRPr="008E61B8" w:rsidRDefault="006D3752" w:rsidP="006D3752">
      <w:pPr>
        <w:jc w:val="center"/>
        <w:rPr>
          <w:rFonts w:ascii="Segoe UI" w:hAnsi="Segoe UI" w:cs="Segoe UI"/>
          <w:b/>
          <w:bCs/>
          <w:sz w:val="28"/>
          <w:szCs w:val="28"/>
          <w:lang w:val="en-US" w:eastAsia="zh-CN"/>
        </w:rPr>
      </w:pPr>
    </w:p>
    <w:p w14:paraId="496DDCD6" w14:textId="77777777" w:rsidR="006D3752" w:rsidRPr="008E61B8" w:rsidRDefault="006D3752" w:rsidP="006D3752">
      <w:pPr>
        <w:jc w:val="center"/>
        <w:rPr>
          <w:rFonts w:ascii="Times New Roman" w:hAnsi="Times New Roman" w:cs="Times New Roman"/>
          <w:b/>
          <w:bCs/>
          <w:sz w:val="28"/>
          <w:szCs w:val="28"/>
          <w:lang w:val="en-US" w:eastAsia="zh-CN"/>
        </w:rPr>
      </w:pPr>
    </w:p>
    <w:p w14:paraId="16BDD928" w14:textId="77777777" w:rsidR="006D3752" w:rsidRPr="008E61B8" w:rsidRDefault="006D3752" w:rsidP="006D3752">
      <w:pPr>
        <w:jc w:val="center"/>
        <w:rPr>
          <w:rFonts w:ascii="Times New Roman" w:hAnsi="Times New Roman"/>
          <w:b/>
          <w:bCs/>
          <w:sz w:val="28"/>
          <w:szCs w:val="28"/>
          <w:lang w:val="en-US" w:eastAsia="zh-CN"/>
        </w:rPr>
      </w:pPr>
    </w:p>
    <w:p w14:paraId="0C409E17" w14:textId="77777777" w:rsidR="006D3752" w:rsidRPr="008E61B8" w:rsidRDefault="006D3752" w:rsidP="006D3752">
      <w:pPr>
        <w:spacing w:after="0" w:line="240" w:lineRule="auto"/>
        <w:rPr>
          <w:rFonts w:ascii="Arial Narrow" w:hAnsi="Arial Narrow"/>
          <w:sz w:val="24"/>
          <w:szCs w:val="24"/>
          <w:lang w:val="en-US"/>
        </w:rPr>
      </w:pPr>
    </w:p>
    <w:p w14:paraId="25FD8191" w14:textId="77777777" w:rsidR="006D3752" w:rsidRPr="008E61B8" w:rsidRDefault="006D3752" w:rsidP="006D3752">
      <w:pPr>
        <w:spacing w:after="0" w:line="240" w:lineRule="auto"/>
        <w:rPr>
          <w:rFonts w:ascii="Arial Narrow" w:hAnsi="Arial Narrow"/>
          <w:sz w:val="24"/>
          <w:szCs w:val="24"/>
          <w:lang w:val="en-US"/>
        </w:rPr>
      </w:pPr>
    </w:p>
    <w:p w14:paraId="09606DC6" w14:textId="77777777" w:rsidR="006D3752" w:rsidRPr="008E61B8" w:rsidRDefault="006D3752" w:rsidP="006D3752">
      <w:pPr>
        <w:spacing w:after="0" w:line="240" w:lineRule="auto"/>
        <w:rPr>
          <w:rFonts w:ascii="Arial Narrow" w:hAnsi="Arial Narrow"/>
          <w:sz w:val="24"/>
          <w:szCs w:val="24"/>
          <w:lang w:val="en-US"/>
        </w:rPr>
      </w:pPr>
    </w:p>
    <w:p w14:paraId="535FED17" w14:textId="77777777" w:rsidR="006D3752" w:rsidRPr="008E61B8" w:rsidRDefault="006D3752" w:rsidP="006D3752">
      <w:pPr>
        <w:spacing w:after="0" w:line="240" w:lineRule="auto"/>
        <w:rPr>
          <w:rFonts w:ascii="Arial Narrow" w:hAnsi="Arial Narrow"/>
          <w:sz w:val="24"/>
          <w:szCs w:val="24"/>
          <w:lang w:val="en-US"/>
        </w:rPr>
      </w:pPr>
    </w:p>
    <w:p w14:paraId="221772FC" w14:textId="77777777" w:rsidR="006D3752" w:rsidRPr="008E61B8" w:rsidRDefault="006D3752" w:rsidP="006D3752">
      <w:pPr>
        <w:spacing w:after="0" w:line="240" w:lineRule="auto"/>
        <w:rPr>
          <w:rFonts w:ascii="Arial Narrow" w:hAnsi="Arial Narrow"/>
          <w:sz w:val="24"/>
          <w:szCs w:val="24"/>
          <w:lang w:val="en-US"/>
        </w:rPr>
      </w:pPr>
    </w:p>
    <w:p w14:paraId="78A2E909" w14:textId="77777777" w:rsidR="006D3752" w:rsidRPr="008E61B8" w:rsidRDefault="006D3752" w:rsidP="006D3752">
      <w:pPr>
        <w:spacing w:after="0" w:line="240" w:lineRule="auto"/>
        <w:rPr>
          <w:rFonts w:ascii="Arial Narrow" w:hAnsi="Arial Narrow"/>
          <w:sz w:val="24"/>
          <w:szCs w:val="24"/>
          <w:lang w:val="en-US"/>
        </w:rPr>
      </w:pPr>
    </w:p>
    <w:p w14:paraId="1CD30704" w14:textId="77777777" w:rsidR="006D3752" w:rsidRPr="008E61B8" w:rsidRDefault="006D3752" w:rsidP="006D3752">
      <w:pPr>
        <w:spacing w:after="0" w:line="240" w:lineRule="auto"/>
        <w:rPr>
          <w:rFonts w:ascii="Arial Narrow" w:hAnsi="Arial Narrow"/>
          <w:sz w:val="24"/>
          <w:szCs w:val="24"/>
          <w:lang w:val="en-US"/>
        </w:rPr>
      </w:pPr>
    </w:p>
    <w:p w14:paraId="66C0EAF5" w14:textId="77777777" w:rsidR="006D3752" w:rsidRPr="008E61B8" w:rsidRDefault="006D3752" w:rsidP="006D3752">
      <w:pPr>
        <w:spacing w:after="0" w:line="240" w:lineRule="auto"/>
        <w:rPr>
          <w:rFonts w:ascii="Arial Narrow" w:hAnsi="Arial Narrow"/>
          <w:sz w:val="24"/>
          <w:szCs w:val="24"/>
          <w:lang w:val="en-US"/>
        </w:rPr>
      </w:pPr>
    </w:p>
    <w:p w14:paraId="1202B64A" w14:textId="4CEFEB5B" w:rsidR="00266358" w:rsidRDefault="008E61B8" w:rsidP="006D3752">
      <w:pPr>
        <w:spacing w:after="0" w:line="240" w:lineRule="auto"/>
        <w:jc w:val="center"/>
        <w:rPr>
          <w:rFonts w:cs="Calibri"/>
          <w:b/>
          <w:sz w:val="36"/>
          <w:szCs w:val="36"/>
          <w:lang w:val="en-US"/>
        </w:rPr>
      </w:pPr>
      <w:r w:rsidRPr="008E61B8">
        <w:rPr>
          <w:rFonts w:cs="Calibri"/>
          <w:b/>
          <w:sz w:val="36"/>
          <w:szCs w:val="36"/>
          <w:lang w:val="en-US"/>
        </w:rPr>
        <w:t>MARCH</w:t>
      </w:r>
      <w:r w:rsidRPr="008E61B8">
        <w:rPr>
          <w:rFonts w:cs="Calibri"/>
          <w:b/>
          <w:sz w:val="36"/>
          <w:szCs w:val="36"/>
        </w:rPr>
        <w:t xml:space="preserve"> 202</w:t>
      </w:r>
      <w:r w:rsidRPr="008E61B8">
        <w:rPr>
          <w:rFonts w:cs="Calibri"/>
          <w:b/>
          <w:sz w:val="36"/>
          <w:szCs w:val="36"/>
          <w:lang w:val="en-US"/>
        </w:rPr>
        <w:t>5</w:t>
      </w:r>
    </w:p>
    <w:p w14:paraId="2B24EA36" w14:textId="77777777" w:rsidR="00266358" w:rsidRDefault="00266358">
      <w:pPr>
        <w:jc w:val="left"/>
        <w:rPr>
          <w:rFonts w:cs="Calibri"/>
          <w:b/>
          <w:sz w:val="36"/>
          <w:szCs w:val="36"/>
          <w:lang w:val="en-US"/>
        </w:rPr>
      </w:pPr>
      <w:r>
        <w:rPr>
          <w:rFonts w:cs="Calibri"/>
          <w:b/>
          <w:sz w:val="36"/>
          <w:szCs w:val="36"/>
          <w:lang w:val="en-US"/>
        </w:rPr>
        <w:br w:type="page"/>
      </w:r>
    </w:p>
    <w:p w14:paraId="2A990F62" w14:textId="77777777" w:rsidR="006D3752" w:rsidRPr="008E61B8" w:rsidRDefault="006D3752" w:rsidP="006D3752">
      <w:pPr>
        <w:spacing w:after="0" w:line="240" w:lineRule="auto"/>
        <w:jc w:val="center"/>
        <w:rPr>
          <w:rFonts w:ascii="Calibri" w:hAnsi="Calibri" w:cs="Calibri"/>
          <w:b/>
          <w:sz w:val="36"/>
          <w:szCs w:val="36"/>
          <w:lang w:val="en-US"/>
        </w:rPr>
      </w:pPr>
      <w:bookmarkStart w:id="0" w:name="_GoBack"/>
      <w:bookmarkEnd w:id="0"/>
    </w:p>
    <w:sdt>
      <w:sdtPr>
        <w:id w:val="198835348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BEE9575" w14:textId="7C1BEB6A" w:rsidR="00266358" w:rsidRDefault="00266358">
          <w:pPr>
            <w:pStyle w:val="af7"/>
          </w:pPr>
          <w:r>
            <w:t>Περιεχόμενα</w:t>
          </w:r>
        </w:p>
        <w:p w14:paraId="3267B21B" w14:textId="131BCCEB" w:rsidR="00266358" w:rsidRDefault="00266358">
          <w:pPr>
            <w:pStyle w:val="24"/>
            <w:tabs>
              <w:tab w:val="right" w:leader="dot" w:pos="9204"/>
            </w:tabs>
            <w:rPr>
              <w:rFonts w:eastAsiaTheme="minorEastAsia"/>
              <w:noProof/>
              <w:lang w:eastAsia="el-GR"/>
            </w:rPr>
          </w:pPr>
          <w:r>
            <w:fldChar w:fldCharType="begin"/>
          </w:r>
          <w:r>
            <w:instrText xml:space="preserve"> TOC \o "1-3" \h \z \u </w:instrText>
          </w:r>
          <w:r>
            <w:fldChar w:fldCharType="separate"/>
          </w:r>
          <w:hyperlink w:anchor="_Toc197974969" w:history="1">
            <w:r w:rsidRPr="00BB4AF6">
              <w:rPr>
                <w:rStyle w:val="-"/>
                <w:rFonts w:ascii="Arial" w:hAnsi="Arial"/>
                <w:noProof/>
                <w:lang w:val="en-US"/>
              </w:rPr>
              <w:t>INTRODUCTION</w:t>
            </w:r>
            <w:r>
              <w:rPr>
                <w:noProof/>
                <w:webHidden/>
              </w:rPr>
              <w:tab/>
            </w:r>
            <w:r>
              <w:rPr>
                <w:noProof/>
                <w:webHidden/>
              </w:rPr>
              <w:fldChar w:fldCharType="begin"/>
            </w:r>
            <w:r>
              <w:rPr>
                <w:noProof/>
                <w:webHidden/>
              </w:rPr>
              <w:instrText xml:space="preserve"> PAGEREF _Toc197974969 \h </w:instrText>
            </w:r>
            <w:r>
              <w:rPr>
                <w:noProof/>
                <w:webHidden/>
              </w:rPr>
            </w:r>
            <w:r>
              <w:rPr>
                <w:noProof/>
                <w:webHidden/>
              </w:rPr>
              <w:fldChar w:fldCharType="separate"/>
            </w:r>
            <w:r>
              <w:rPr>
                <w:noProof/>
                <w:webHidden/>
              </w:rPr>
              <w:t>2</w:t>
            </w:r>
            <w:r>
              <w:rPr>
                <w:noProof/>
                <w:webHidden/>
              </w:rPr>
              <w:fldChar w:fldCharType="end"/>
            </w:r>
          </w:hyperlink>
        </w:p>
        <w:p w14:paraId="4F288130" w14:textId="45E70CCC" w:rsidR="00266358" w:rsidRDefault="00266358">
          <w:pPr>
            <w:pStyle w:val="24"/>
            <w:tabs>
              <w:tab w:val="right" w:leader="dot" w:pos="9204"/>
            </w:tabs>
            <w:rPr>
              <w:rFonts w:eastAsiaTheme="minorEastAsia"/>
              <w:noProof/>
              <w:lang w:eastAsia="el-GR"/>
            </w:rPr>
          </w:pPr>
          <w:hyperlink w:anchor="_Toc197974970" w:history="1">
            <w:r w:rsidRPr="00BB4AF6">
              <w:rPr>
                <w:rStyle w:val="-"/>
                <w:rFonts w:ascii="Arial" w:hAnsi="Arial"/>
                <w:noProof/>
                <w:lang w:val="en-US"/>
              </w:rPr>
              <w:t>ARTICLE 1. OBJECT AND PURPOSE</w:t>
            </w:r>
            <w:r>
              <w:rPr>
                <w:noProof/>
                <w:webHidden/>
              </w:rPr>
              <w:tab/>
            </w:r>
            <w:r>
              <w:rPr>
                <w:noProof/>
                <w:webHidden/>
              </w:rPr>
              <w:fldChar w:fldCharType="begin"/>
            </w:r>
            <w:r>
              <w:rPr>
                <w:noProof/>
                <w:webHidden/>
              </w:rPr>
              <w:instrText xml:space="preserve"> PAGEREF _Toc197974970 \h </w:instrText>
            </w:r>
            <w:r>
              <w:rPr>
                <w:noProof/>
                <w:webHidden/>
              </w:rPr>
            </w:r>
            <w:r>
              <w:rPr>
                <w:noProof/>
                <w:webHidden/>
              </w:rPr>
              <w:fldChar w:fldCharType="separate"/>
            </w:r>
            <w:r>
              <w:rPr>
                <w:noProof/>
                <w:webHidden/>
              </w:rPr>
              <w:t>2</w:t>
            </w:r>
            <w:r>
              <w:rPr>
                <w:noProof/>
                <w:webHidden/>
              </w:rPr>
              <w:fldChar w:fldCharType="end"/>
            </w:r>
          </w:hyperlink>
        </w:p>
        <w:p w14:paraId="5FF0DDEF" w14:textId="65240F49" w:rsidR="00266358" w:rsidRDefault="00266358">
          <w:pPr>
            <w:pStyle w:val="24"/>
            <w:tabs>
              <w:tab w:val="right" w:leader="dot" w:pos="9204"/>
            </w:tabs>
            <w:rPr>
              <w:rFonts w:eastAsiaTheme="minorEastAsia"/>
              <w:noProof/>
              <w:lang w:eastAsia="el-GR"/>
            </w:rPr>
          </w:pPr>
          <w:hyperlink w:anchor="_Toc197974971" w:history="1">
            <w:r w:rsidRPr="00BB4AF6">
              <w:rPr>
                <w:rStyle w:val="-"/>
                <w:rFonts w:ascii="Arial" w:hAnsi="Arial"/>
                <w:noProof/>
                <w:lang w:val="en-US"/>
              </w:rPr>
              <w:t>Article 2. STRUCTURE AND ORGANS OF THE PSP</w:t>
            </w:r>
            <w:r>
              <w:rPr>
                <w:noProof/>
                <w:webHidden/>
              </w:rPr>
              <w:tab/>
            </w:r>
            <w:r>
              <w:rPr>
                <w:noProof/>
                <w:webHidden/>
              </w:rPr>
              <w:fldChar w:fldCharType="begin"/>
            </w:r>
            <w:r>
              <w:rPr>
                <w:noProof/>
                <w:webHidden/>
              </w:rPr>
              <w:instrText xml:space="preserve"> PAGEREF _Toc197974971 \h </w:instrText>
            </w:r>
            <w:r>
              <w:rPr>
                <w:noProof/>
                <w:webHidden/>
              </w:rPr>
            </w:r>
            <w:r>
              <w:rPr>
                <w:noProof/>
                <w:webHidden/>
              </w:rPr>
              <w:fldChar w:fldCharType="separate"/>
            </w:r>
            <w:r>
              <w:rPr>
                <w:noProof/>
                <w:webHidden/>
              </w:rPr>
              <w:t>4</w:t>
            </w:r>
            <w:r>
              <w:rPr>
                <w:noProof/>
                <w:webHidden/>
              </w:rPr>
              <w:fldChar w:fldCharType="end"/>
            </w:r>
          </w:hyperlink>
        </w:p>
        <w:p w14:paraId="367F0F50" w14:textId="078B7F40" w:rsidR="00266358" w:rsidRDefault="00266358">
          <w:pPr>
            <w:pStyle w:val="24"/>
            <w:tabs>
              <w:tab w:val="right" w:leader="dot" w:pos="9204"/>
            </w:tabs>
            <w:rPr>
              <w:rFonts w:eastAsiaTheme="minorEastAsia"/>
              <w:noProof/>
              <w:lang w:eastAsia="el-GR"/>
            </w:rPr>
          </w:pPr>
          <w:hyperlink w:anchor="_Toc197974972" w:history="1">
            <w:r w:rsidRPr="00BB4AF6">
              <w:rPr>
                <w:rStyle w:val="-"/>
                <w:rFonts w:ascii="Arial" w:hAnsi="Arial"/>
                <w:noProof/>
                <w:lang w:val="en-US"/>
              </w:rPr>
              <w:t>ARTICLE 3. CATEGORIES AND NUMBER OF APPLICANTS</w:t>
            </w:r>
            <w:r>
              <w:rPr>
                <w:noProof/>
                <w:webHidden/>
              </w:rPr>
              <w:tab/>
            </w:r>
            <w:r>
              <w:rPr>
                <w:noProof/>
                <w:webHidden/>
              </w:rPr>
              <w:fldChar w:fldCharType="begin"/>
            </w:r>
            <w:r>
              <w:rPr>
                <w:noProof/>
                <w:webHidden/>
              </w:rPr>
              <w:instrText xml:space="preserve"> PAGEREF _Toc197974972 \h </w:instrText>
            </w:r>
            <w:r>
              <w:rPr>
                <w:noProof/>
                <w:webHidden/>
              </w:rPr>
            </w:r>
            <w:r>
              <w:rPr>
                <w:noProof/>
                <w:webHidden/>
              </w:rPr>
              <w:fldChar w:fldCharType="separate"/>
            </w:r>
            <w:r>
              <w:rPr>
                <w:noProof/>
                <w:webHidden/>
              </w:rPr>
              <w:t>5</w:t>
            </w:r>
            <w:r>
              <w:rPr>
                <w:noProof/>
                <w:webHidden/>
              </w:rPr>
              <w:fldChar w:fldCharType="end"/>
            </w:r>
          </w:hyperlink>
        </w:p>
        <w:p w14:paraId="437B42B5" w14:textId="717E8D34" w:rsidR="00266358" w:rsidRDefault="00266358">
          <w:pPr>
            <w:pStyle w:val="24"/>
            <w:tabs>
              <w:tab w:val="right" w:leader="dot" w:pos="9204"/>
            </w:tabs>
            <w:rPr>
              <w:rFonts w:eastAsiaTheme="minorEastAsia"/>
              <w:noProof/>
              <w:lang w:eastAsia="el-GR"/>
            </w:rPr>
          </w:pPr>
          <w:hyperlink w:anchor="_Toc197974973" w:history="1">
            <w:r w:rsidRPr="00BB4AF6">
              <w:rPr>
                <w:rStyle w:val="-"/>
                <w:rFonts w:ascii="Arial" w:hAnsi="Arial"/>
                <w:noProof/>
                <w:lang w:val="en-US"/>
              </w:rPr>
              <w:t>ARTICLE 4. METHOD OF INTRODUCTION</w:t>
            </w:r>
            <w:r>
              <w:rPr>
                <w:noProof/>
                <w:webHidden/>
              </w:rPr>
              <w:tab/>
            </w:r>
            <w:r>
              <w:rPr>
                <w:noProof/>
                <w:webHidden/>
              </w:rPr>
              <w:fldChar w:fldCharType="begin"/>
            </w:r>
            <w:r>
              <w:rPr>
                <w:noProof/>
                <w:webHidden/>
              </w:rPr>
              <w:instrText xml:space="preserve"> PAGEREF _Toc197974973 \h </w:instrText>
            </w:r>
            <w:r>
              <w:rPr>
                <w:noProof/>
                <w:webHidden/>
              </w:rPr>
            </w:r>
            <w:r>
              <w:rPr>
                <w:noProof/>
                <w:webHidden/>
              </w:rPr>
              <w:fldChar w:fldCharType="separate"/>
            </w:r>
            <w:r>
              <w:rPr>
                <w:noProof/>
                <w:webHidden/>
              </w:rPr>
              <w:t>5</w:t>
            </w:r>
            <w:r>
              <w:rPr>
                <w:noProof/>
                <w:webHidden/>
              </w:rPr>
              <w:fldChar w:fldCharType="end"/>
            </w:r>
          </w:hyperlink>
        </w:p>
        <w:p w14:paraId="6ABB0101" w14:textId="60DB9E13" w:rsidR="00266358" w:rsidRDefault="00266358">
          <w:pPr>
            <w:pStyle w:val="24"/>
            <w:tabs>
              <w:tab w:val="right" w:leader="dot" w:pos="9204"/>
            </w:tabs>
            <w:rPr>
              <w:rFonts w:eastAsiaTheme="minorEastAsia"/>
              <w:noProof/>
              <w:lang w:eastAsia="el-GR"/>
            </w:rPr>
          </w:pPr>
          <w:hyperlink w:anchor="_Toc197974974" w:history="1">
            <w:r w:rsidRPr="00BB4AF6">
              <w:rPr>
                <w:rStyle w:val="-"/>
                <w:rFonts w:ascii="Arial" w:hAnsi="Arial"/>
                <w:noProof/>
                <w:lang w:val="en-US"/>
              </w:rPr>
              <w:t>ARTICLE 5. DURATION OF STUDY</w:t>
            </w:r>
            <w:r>
              <w:rPr>
                <w:noProof/>
                <w:webHidden/>
              </w:rPr>
              <w:tab/>
            </w:r>
            <w:r>
              <w:rPr>
                <w:noProof/>
                <w:webHidden/>
              </w:rPr>
              <w:fldChar w:fldCharType="begin"/>
            </w:r>
            <w:r>
              <w:rPr>
                <w:noProof/>
                <w:webHidden/>
              </w:rPr>
              <w:instrText xml:space="preserve"> PAGEREF _Toc197974974 \h </w:instrText>
            </w:r>
            <w:r>
              <w:rPr>
                <w:noProof/>
                <w:webHidden/>
              </w:rPr>
            </w:r>
            <w:r>
              <w:rPr>
                <w:noProof/>
                <w:webHidden/>
              </w:rPr>
              <w:fldChar w:fldCharType="separate"/>
            </w:r>
            <w:r>
              <w:rPr>
                <w:noProof/>
                <w:webHidden/>
              </w:rPr>
              <w:t>7</w:t>
            </w:r>
            <w:r>
              <w:rPr>
                <w:noProof/>
                <w:webHidden/>
              </w:rPr>
              <w:fldChar w:fldCharType="end"/>
            </w:r>
          </w:hyperlink>
        </w:p>
        <w:p w14:paraId="232268BE" w14:textId="43371932" w:rsidR="00266358" w:rsidRDefault="00266358">
          <w:pPr>
            <w:pStyle w:val="24"/>
            <w:tabs>
              <w:tab w:val="right" w:leader="dot" w:pos="9204"/>
            </w:tabs>
            <w:rPr>
              <w:rFonts w:eastAsiaTheme="minorEastAsia"/>
              <w:noProof/>
              <w:lang w:eastAsia="el-GR"/>
            </w:rPr>
          </w:pPr>
          <w:hyperlink w:anchor="_Toc197974975" w:history="1">
            <w:r w:rsidRPr="00BB4AF6">
              <w:rPr>
                <w:rStyle w:val="-"/>
                <w:rFonts w:ascii="Arial" w:hAnsi="Arial"/>
                <w:noProof/>
                <w:lang w:val="en-US"/>
              </w:rPr>
              <w:t>ARTICLE 6. CURRICULUM</w:t>
            </w:r>
            <w:r>
              <w:rPr>
                <w:noProof/>
                <w:webHidden/>
              </w:rPr>
              <w:tab/>
            </w:r>
            <w:r>
              <w:rPr>
                <w:noProof/>
                <w:webHidden/>
              </w:rPr>
              <w:fldChar w:fldCharType="begin"/>
            </w:r>
            <w:r>
              <w:rPr>
                <w:noProof/>
                <w:webHidden/>
              </w:rPr>
              <w:instrText xml:space="preserve"> PAGEREF _Toc197974975 \h </w:instrText>
            </w:r>
            <w:r>
              <w:rPr>
                <w:noProof/>
                <w:webHidden/>
              </w:rPr>
            </w:r>
            <w:r>
              <w:rPr>
                <w:noProof/>
                <w:webHidden/>
              </w:rPr>
              <w:fldChar w:fldCharType="separate"/>
            </w:r>
            <w:r>
              <w:rPr>
                <w:noProof/>
                <w:webHidden/>
              </w:rPr>
              <w:t>8</w:t>
            </w:r>
            <w:r>
              <w:rPr>
                <w:noProof/>
                <w:webHidden/>
              </w:rPr>
              <w:fldChar w:fldCharType="end"/>
            </w:r>
          </w:hyperlink>
        </w:p>
        <w:p w14:paraId="7A1911A5" w14:textId="415B8FDC" w:rsidR="00266358" w:rsidRDefault="00266358">
          <w:pPr>
            <w:pStyle w:val="24"/>
            <w:tabs>
              <w:tab w:val="right" w:leader="dot" w:pos="9204"/>
            </w:tabs>
            <w:rPr>
              <w:rFonts w:eastAsiaTheme="minorEastAsia"/>
              <w:noProof/>
              <w:lang w:eastAsia="el-GR"/>
            </w:rPr>
          </w:pPr>
          <w:hyperlink w:anchor="_Toc197974976" w:history="1">
            <w:r w:rsidRPr="00BB4AF6">
              <w:rPr>
                <w:rStyle w:val="-"/>
                <w:rFonts w:cstheme="minorHAnsi"/>
                <w:noProof/>
                <w:lang w:val="en-US"/>
              </w:rPr>
              <w:t>BRIEF DESCRIPTION OF THE COURSE</w:t>
            </w:r>
            <w:r>
              <w:rPr>
                <w:noProof/>
                <w:webHidden/>
              </w:rPr>
              <w:tab/>
            </w:r>
            <w:r>
              <w:rPr>
                <w:noProof/>
                <w:webHidden/>
              </w:rPr>
              <w:fldChar w:fldCharType="begin"/>
            </w:r>
            <w:r>
              <w:rPr>
                <w:noProof/>
                <w:webHidden/>
              </w:rPr>
              <w:instrText xml:space="preserve"> PAGEREF _Toc197974976 \h </w:instrText>
            </w:r>
            <w:r>
              <w:rPr>
                <w:noProof/>
                <w:webHidden/>
              </w:rPr>
            </w:r>
            <w:r>
              <w:rPr>
                <w:noProof/>
                <w:webHidden/>
              </w:rPr>
              <w:fldChar w:fldCharType="separate"/>
            </w:r>
            <w:r>
              <w:rPr>
                <w:noProof/>
                <w:webHidden/>
              </w:rPr>
              <w:t>9</w:t>
            </w:r>
            <w:r>
              <w:rPr>
                <w:noProof/>
                <w:webHidden/>
              </w:rPr>
              <w:fldChar w:fldCharType="end"/>
            </w:r>
          </w:hyperlink>
        </w:p>
        <w:p w14:paraId="2EC6D1DE" w14:textId="689C774C" w:rsidR="00266358" w:rsidRDefault="00266358">
          <w:pPr>
            <w:pStyle w:val="24"/>
            <w:tabs>
              <w:tab w:val="right" w:leader="dot" w:pos="9204"/>
            </w:tabs>
            <w:rPr>
              <w:rFonts w:eastAsiaTheme="minorEastAsia"/>
              <w:noProof/>
              <w:lang w:eastAsia="el-GR"/>
            </w:rPr>
          </w:pPr>
          <w:hyperlink w:anchor="_Toc197974977" w:history="1">
            <w:r w:rsidRPr="00BB4AF6">
              <w:rPr>
                <w:rStyle w:val="-"/>
                <w:rFonts w:ascii="Arial" w:hAnsi="Arial"/>
                <w:noProof/>
                <w:lang w:val="en-US"/>
              </w:rPr>
              <w:t>ARTICLE 7. DISTANCE LEARNING</w:t>
            </w:r>
            <w:r>
              <w:rPr>
                <w:noProof/>
                <w:webHidden/>
              </w:rPr>
              <w:tab/>
            </w:r>
            <w:r>
              <w:rPr>
                <w:noProof/>
                <w:webHidden/>
              </w:rPr>
              <w:fldChar w:fldCharType="begin"/>
            </w:r>
            <w:r>
              <w:rPr>
                <w:noProof/>
                <w:webHidden/>
              </w:rPr>
              <w:instrText xml:space="preserve"> PAGEREF _Toc197974977 \h </w:instrText>
            </w:r>
            <w:r>
              <w:rPr>
                <w:noProof/>
                <w:webHidden/>
              </w:rPr>
            </w:r>
            <w:r>
              <w:rPr>
                <w:noProof/>
                <w:webHidden/>
              </w:rPr>
              <w:fldChar w:fldCharType="separate"/>
            </w:r>
            <w:r>
              <w:rPr>
                <w:noProof/>
                <w:webHidden/>
              </w:rPr>
              <w:t>11</w:t>
            </w:r>
            <w:r>
              <w:rPr>
                <w:noProof/>
                <w:webHidden/>
              </w:rPr>
              <w:fldChar w:fldCharType="end"/>
            </w:r>
          </w:hyperlink>
        </w:p>
        <w:p w14:paraId="1C6DECEB" w14:textId="20E660B7" w:rsidR="00266358" w:rsidRDefault="00266358">
          <w:pPr>
            <w:pStyle w:val="24"/>
            <w:tabs>
              <w:tab w:val="right" w:leader="dot" w:pos="9204"/>
            </w:tabs>
            <w:rPr>
              <w:rFonts w:eastAsiaTheme="minorEastAsia"/>
              <w:noProof/>
              <w:lang w:eastAsia="el-GR"/>
            </w:rPr>
          </w:pPr>
          <w:hyperlink w:anchor="_Toc197974978" w:history="1">
            <w:r w:rsidRPr="00BB4AF6">
              <w:rPr>
                <w:rStyle w:val="-"/>
                <w:rFonts w:ascii="Arial" w:hAnsi="Arial"/>
                <w:noProof/>
                <w:lang w:val="en-US"/>
              </w:rPr>
              <w:t>ARTICLE 8. EXAMINATIONS AND EVALUATION OF POSTGRADUATE STUDENTS</w:t>
            </w:r>
            <w:r>
              <w:rPr>
                <w:noProof/>
                <w:webHidden/>
              </w:rPr>
              <w:tab/>
            </w:r>
            <w:r>
              <w:rPr>
                <w:noProof/>
                <w:webHidden/>
              </w:rPr>
              <w:fldChar w:fldCharType="begin"/>
            </w:r>
            <w:r>
              <w:rPr>
                <w:noProof/>
                <w:webHidden/>
              </w:rPr>
              <w:instrText xml:space="preserve"> PAGEREF _Toc197974978 \h </w:instrText>
            </w:r>
            <w:r>
              <w:rPr>
                <w:noProof/>
                <w:webHidden/>
              </w:rPr>
            </w:r>
            <w:r>
              <w:rPr>
                <w:noProof/>
                <w:webHidden/>
              </w:rPr>
              <w:fldChar w:fldCharType="separate"/>
            </w:r>
            <w:r>
              <w:rPr>
                <w:noProof/>
                <w:webHidden/>
              </w:rPr>
              <w:t>12</w:t>
            </w:r>
            <w:r>
              <w:rPr>
                <w:noProof/>
                <w:webHidden/>
              </w:rPr>
              <w:fldChar w:fldCharType="end"/>
            </w:r>
          </w:hyperlink>
        </w:p>
        <w:p w14:paraId="4026C0D9" w14:textId="7C34D5BE" w:rsidR="00266358" w:rsidRDefault="00266358">
          <w:pPr>
            <w:pStyle w:val="24"/>
            <w:tabs>
              <w:tab w:val="right" w:leader="dot" w:pos="9204"/>
            </w:tabs>
            <w:rPr>
              <w:rFonts w:eastAsiaTheme="minorEastAsia"/>
              <w:noProof/>
              <w:lang w:eastAsia="el-GR"/>
            </w:rPr>
          </w:pPr>
          <w:hyperlink w:anchor="_Toc197974979" w:history="1">
            <w:r w:rsidRPr="00BB4AF6">
              <w:rPr>
                <w:rStyle w:val="-"/>
                <w:rFonts w:ascii="Arial" w:hAnsi="Arial"/>
                <w:noProof/>
                <w:lang w:val="en-US"/>
              </w:rPr>
              <w:t>ARTICLE 9. PREPARATION OF DIPLOMA THESIS</w:t>
            </w:r>
            <w:r>
              <w:rPr>
                <w:noProof/>
                <w:webHidden/>
              </w:rPr>
              <w:tab/>
            </w:r>
            <w:r>
              <w:rPr>
                <w:noProof/>
                <w:webHidden/>
              </w:rPr>
              <w:fldChar w:fldCharType="begin"/>
            </w:r>
            <w:r>
              <w:rPr>
                <w:noProof/>
                <w:webHidden/>
              </w:rPr>
              <w:instrText xml:space="preserve"> PAGEREF _Toc197974979 \h </w:instrText>
            </w:r>
            <w:r>
              <w:rPr>
                <w:noProof/>
                <w:webHidden/>
              </w:rPr>
            </w:r>
            <w:r>
              <w:rPr>
                <w:noProof/>
                <w:webHidden/>
              </w:rPr>
              <w:fldChar w:fldCharType="separate"/>
            </w:r>
            <w:r>
              <w:rPr>
                <w:noProof/>
                <w:webHidden/>
              </w:rPr>
              <w:t>13</w:t>
            </w:r>
            <w:r>
              <w:rPr>
                <w:noProof/>
                <w:webHidden/>
              </w:rPr>
              <w:fldChar w:fldCharType="end"/>
            </w:r>
          </w:hyperlink>
        </w:p>
        <w:p w14:paraId="29C117A1" w14:textId="5D79E4EC" w:rsidR="00266358" w:rsidRDefault="00266358">
          <w:pPr>
            <w:pStyle w:val="24"/>
            <w:tabs>
              <w:tab w:val="right" w:leader="dot" w:pos="9204"/>
            </w:tabs>
            <w:rPr>
              <w:rFonts w:eastAsiaTheme="minorEastAsia"/>
              <w:noProof/>
              <w:lang w:eastAsia="el-GR"/>
            </w:rPr>
          </w:pPr>
          <w:hyperlink w:anchor="_Toc197974980" w:history="1">
            <w:r w:rsidRPr="00BB4AF6">
              <w:rPr>
                <w:rStyle w:val="-"/>
                <w:rFonts w:ascii="Arial" w:hAnsi="Arial"/>
                <w:noProof/>
                <w:lang w:val="en-US"/>
              </w:rPr>
              <w:t>ARTICLE 10. COPYRIGHT AND PLAGIARISM</w:t>
            </w:r>
            <w:r>
              <w:rPr>
                <w:noProof/>
                <w:webHidden/>
              </w:rPr>
              <w:tab/>
            </w:r>
            <w:r>
              <w:rPr>
                <w:noProof/>
                <w:webHidden/>
              </w:rPr>
              <w:fldChar w:fldCharType="begin"/>
            </w:r>
            <w:r>
              <w:rPr>
                <w:noProof/>
                <w:webHidden/>
              </w:rPr>
              <w:instrText xml:space="preserve"> PAGEREF _Toc197974980 \h </w:instrText>
            </w:r>
            <w:r>
              <w:rPr>
                <w:noProof/>
                <w:webHidden/>
              </w:rPr>
            </w:r>
            <w:r>
              <w:rPr>
                <w:noProof/>
                <w:webHidden/>
              </w:rPr>
              <w:fldChar w:fldCharType="separate"/>
            </w:r>
            <w:r>
              <w:rPr>
                <w:noProof/>
                <w:webHidden/>
              </w:rPr>
              <w:t>14</w:t>
            </w:r>
            <w:r>
              <w:rPr>
                <w:noProof/>
                <w:webHidden/>
              </w:rPr>
              <w:fldChar w:fldCharType="end"/>
            </w:r>
          </w:hyperlink>
        </w:p>
        <w:p w14:paraId="6FB44A4F" w14:textId="1464C38D" w:rsidR="00266358" w:rsidRDefault="00266358">
          <w:pPr>
            <w:pStyle w:val="24"/>
            <w:tabs>
              <w:tab w:val="right" w:leader="dot" w:pos="9204"/>
            </w:tabs>
            <w:rPr>
              <w:rFonts w:eastAsiaTheme="minorEastAsia"/>
              <w:noProof/>
              <w:lang w:eastAsia="el-GR"/>
            </w:rPr>
          </w:pPr>
          <w:hyperlink w:anchor="_Toc197974981" w:history="1">
            <w:r w:rsidRPr="00BB4AF6">
              <w:rPr>
                <w:rStyle w:val="-"/>
                <w:rFonts w:ascii="Arial" w:hAnsi="Arial"/>
                <w:noProof/>
                <w:lang w:val="en-US"/>
              </w:rPr>
              <w:t>ARTICLE 11. OBLIGATIONS AND RIGHTS OF POSTGRADUATE STUDENTS.</w:t>
            </w:r>
            <w:r>
              <w:rPr>
                <w:noProof/>
                <w:webHidden/>
              </w:rPr>
              <w:tab/>
            </w:r>
            <w:r>
              <w:rPr>
                <w:noProof/>
                <w:webHidden/>
              </w:rPr>
              <w:fldChar w:fldCharType="begin"/>
            </w:r>
            <w:r>
              <w:rPr>
                <w:noProof/>
                <w:webHidden/>
              </w:rPr>
              <w:instrText xml:space="preserve"> PAGEREF _Toc197974981 \h </w:instrText>
            </w:r>
            <w:r>
              <w:rPr>
                <w:noProof/>
                <w:webHidden/>
              </w:rPr>
            </w:r>
            <w:r>
              <w:rPr>
                <w:noProof/>
                <w:webHidden/>
              </w:rPr>
              <w:fldChar w:fldCharType="separate"/>
            </w:r>
            <w:r>
              <w:rPr>
                <w:noProof/>
                <w:webHidden/>
              </w:rPr>
              <w:t>15</w:t>
            </w:r>
            <w:r>
              <w:rPr>
                <w:noProof/>
                <w:webHidden/>
              </w:rPr>
              <w:fldChar w:fldCharType="end"/>
            </w:r>
          </w:hyperlink>
        </w:p>
        <w:p w14:paraId="7293BC32" w14:textId="2802387E" w:rsidR="00266358" w:rsidRDefault="00266358">
          <w:pPr>
            <w:pStyle w:val="24"/>
            <w:tabs>
              <w:tab w:val="right" w:leader="dot" w:pos="9204"/>
            </w:tabs>
            <w:rPr>
              <w:rFonts w:eastAsiaTheme="minorEastAsia"/>
              <w:noProof/>
              <w:lang w:eastAsia="el-GR"/>
            </w:rPr>
          </w:pPr>
          <w:hyperlink w:anchor="_Toc197974982" w:history="1">
            <w:r w:rsidRPr="00BB4AF6">
              <w:rPr>
                <w:rStyle w:val="-"/>
                <w:rFonts w:ascii="Arial" w:hAnsi="Arial"/>
                <w:noProof/>
                <w:lang w:val="en-US"/>
              </w:rPr>
              <w:t>ARTICLE 12. EXEMPTION FROM TUITION FEES</w:t>
            </w:r>
            <w:r>
              <w:rPr>
                <w:noProof/>
                <w:webHidden/>
              </w:rPr>
              <w:tab/>
            </w:r>
            <w:r>
              <w:rPr>
                <w:noProof/>
                <w:webHidden/>
              </w:rPr>
              <w:fldChar w:fldCharType="begin"/>
            </w:r>
            <w:r>
              <w:rPr>
                <w:noProof/>
                <w:webHidden/>
              </w:rPr>
              <w:instrText xml:space="preserve"> PAGEREF _Toc197974982 \h </w:instrText>
            </w:r>
            <w:r>
              <w:rPr>
                <w:noProof/>
                <w:webHidden/>
              </w:rPr>
            </w:r>
            <w:r>
              <w:rPr>
                <w:noProof/>
                <w:webHidden/>
              </w:rPr>
              <w:fldChar w:fldCharType="separate"/>
            </w:r>
            <w:r>
              <w:rPr>
                <w:noProof/>
                <w:webHidden/>
              </w:rPr>
              <w:t>16</w:t>
            </w:r>
            <w:r>
              <w:rPr>
                <w:noProof/>
                <w:webHidden/>
              </w:rPr>
              <w:fldChar w:fldCharType="end"/>
            </w:r>
          </w:hyperlink>
        </w:p>
        <w:p w14:paraId="28A7C1FA" w14:textId="146BA1C0" w:rsidR="00266358" w:rsidRDefault="00266358">
          <w:pPr>
            <w:pStyle w:val="24"/>
            <w:tabs>
              <w:tab w:val="right" w:leader="dot" w:pos="9204"/>
            </w:tabs>
            <w:rPr>
              <w:rFonts w:eastAsiaTheme="minorEastAsia"/>
              <w:noProof/>
              <w:lang w:eastAsia="el-GR"/>
            </w:rPr>
          </w:pPr>
          <w:hyperlink w:anchor="_Toc197974983" w:history="1">
            <w:r w:rsidRPr="00BB4AF6">
              <w:rPr>
                <w:rStyle w:val="-"/>
                <w:rFonts w:ascii="Arial" w:hAnsi="Arial"/>
                <w:noProof/>
                <w:lang w:val="en-US"/>
              </w:rPr>
              <w:t>ARTICLE 13. SUPPLEMENTS</w:t>
            </w:r>
            <w:r>
              <w:rPr>
                <w:noProof/>
                <w:webHidden/>
              </w:rPr>
              <w:tab/>
            </w:r>
            <w:r>
              <w:rPr>
                <w:noProof/>
                <w:webHidden/>
              </w:rPr>
              <w:fldChar w:fldCharType="begin"/>
            </w:r>
            <w:r>
              <w:rPr>
                <w:noProof/>
                <w:webHidden/>
              </w:rPr>
              <w:instrText xml:space="preserve"> PAGEREF _Toc197974983 \h </w:instrText>
            </w:r>
            <w:r>
              <w:rPr>
                <w:noProof/>
                <w:webHidden/>
              </w:rPr>
            </w:r>
            <w:r>
              <w:rPr>
                <w:noProof/>
                <w:webHidden/>
              </w:rPr>
              <w:fldChar w:fldCharType="separate"/>
            </w:r>
            <w:r>
              <w:rPr>
                <w:noProof/>
                <w:webHidden/>
              </w:rPr>
              <w:t>16</w:t>
            </w:r>
            <w:r>
              <w:rPr>
                <w:noProof/>
                <w:webHidden/>
              </w:rPr>
              <w:fldChar w:fldCharType="end"/>
            </w:r>
          </w:hyperlink>
        </w:p>
        <w:p w14:paraId="46C95861" w14:textId="3252C213" w:rsidR="00266358" w:rsidRDefault="00266358">
          <w:pPr>
            <w:pStyle w:val="24"/>
            <w:tabs>
              <w:tab w:val="right" w:leader="dot" w:pos="9204"/>
            </w:tabs>
            <w:rPr>
              <w:rFonts w:eastAsiaTheme="minorEastAsia"/>
              <w:noProof/>
              <w:lang w:eastAsia="el-GR"/>
            </w:rPr>
          </w:pPr>
          <w:hyperlink w:anchor="_Toc197974984" w:history="1">
            <w:r w:rsidRPr="00BB4AF6">
              <w:rPr>
                <w:rStyle w:val="-"/>
                <w:rFonts w:ascii="Arial" w:hAnsi="Arial"/>
                <w:noProof/>
                <w:lang w:val="en-US"/>
              </w:rPr>
              <w:t>ARTICLE 14. INFRASTRUCTURE AND FINANCING OF THE PSP.</w:t>
            </w:r>
            <w:r>
              <w:rPr>
                <w:noProof/>
                <w:webHidden/>
              </w:rPr>
              <w:tab/>
            </w:r>
            <w:r>
              <w:rPr>
                <w:noProof/>
                <w:webHidden/>
              </w:rPr>
              <w:fldChar w:fldCharType="begin"/>
            </w:r>
            <w:r>
              <w:rPr>
                <w:noProof/>
                <w:webHidden/>
              </w:rPr>
              <w:instrText xml:space="preserve"> PAGEREF _Toc197974984 \h </w:instrText>
            </w:r>
            <w:r>
              <w:rPr>
                <w:noProof/>
                <w:webHidden/>
              </w:rPr>
            </w:r>
            <w:r>
              <w:rPr>
                <w:noProof/>
                <w:webHidden/>
              </w:rPr>
              <w:fldChar w:fldCharType="separate"/>
            </w:r>
            <w:r>
              <w:rPr>
                <w:noProof/>
                <w:webHidden/>
              </w:rPr>
              <w:t>16</w:t>
            </w:r>
            <w:r>
              <w:rPr>
                <w:noProof/>
                <w:webHidden/>
              </w:rPr>
              <w:fldChar w:fldCharType="end"/>
            </w:r>
          </w:hyperlink>
        </w:p>
        <w:p w14:paraId="355062CC" w14:textId="6A7A480F" w:rsidR="00266358" w:rsidRDefault="00266358">
          <w:pPr>
            <w:pStyle w:val="24"/>
            <w:tabs>
              <w:tab w:val="right" w:leader="dot" w:pos="9204"/>
            </w:tabs>
            <w:rPr>
              <w:rFonts w:eastAsiaTheme="minorEastAsia"/>
              <w:noProof/>
              <w:lang w:eastAsia="el-GR"/>
            </w:rPr>
          </w:pPr>
          <w:hyperlink w:anchor="_Toc197974985" w:history="1">
            <w:r w:rsidRPr="00BB4AF6">
              <w:rPr>
                <w:rStyle w:val="-"/>
                <w:rFonts w:ascii="Arial" w:hAnsi="Arial"/>
                <w:noProof/>
                <w:lang w:val="en-US"/>
              </w:rPr>
              <w:t>ARTICLE 15. TEACHING ASSIGNMENT/TEACHERS IN THE PSP</w:t>
            </w:r>
            <w:r>
              <w:rPr>
                <w:noProof/>
                <w:webHidden/>
              </w:rPr>
              <w:tab/>
            </w:r>
            <w:r>
              <w:rPr>
                <w:noProof/>
                <w:webHidden/>
              </w:rPr>
              <w:fldChar w:fldCharType="begin"/>
            </w:r>
            <w:r>
              <w:rPr>
                <w:noProof/>
                <w:webHidden/>
              </w:rPr>
              <w:instrText xml:space="preserve"> PAGEREF _Toc197974985 \h </w:instrText>
            </w:r>
            <w:r>
              <w:rPr>
                <w:noProof/>
                <w:webHidden/>
              </w:rPr>
            </w:r>
            <w:r>
              <w:rPr>
                <w:noProof/>
                <w:webHidden/>
              </w:rPr>
              <w:fldChar w:fldCharType="separate"/>
            </w:r>
            <w:r>
              <w:rPr>
                <w:noProof/>
                <w:webHidden/>
              </w:rPr>
              <w:t>17</w:t>
            </w:r>
            <w:r>
              <w:rPr>
                <w:noProof/>
                <w:webHidden/>
              </w:rPr>
              <w:fldChar w:fldCharType="end"/>
            </w:r>
          </w:hyperlink>
        </w:p>
        <w:p w14:paraId="67EAF29D" w14:textId="76C24F66" w:rsidR="00266358" w:rsidRDefault="00266358">
          <w:pPr>
            <w:pStyle w:val="24"/>
            <w:tabs>
              <w:tab w:val="right" w:leader="dot" w:pos="9204"/>
            </w:tabs>
            <w:rPr>
              <w:rFonts w:eastAsiaTheme="minorEastAsia"/>
              <w:noProof/>
              <w:lang w:eastAsia="el-GR"/>
            </w:rPr>
          </w:pPr>
          <w:hyperlink w:anchor="_Toc197974986" w:history="1">
            <w:r w:rsidRPr="00BB4AF6">
              <w:rPr>
                <w:rStyle w:val="-"/>
                <w:rFonts w:ascii="Arial" w:hAnsi="Arial"/>
                <w:noProof/>
                <w:lang w:val="en-US"/>
              </w:rPr>
              <w:t>ARTICLE 16. AWARD OF POSTGRADUATE DIPLOMA</w:t>
            </w:r>
            <w:r>
              <w:rPr>
                <w:noProof/>
                <w:webHidden/>
              </w:rPr>
              <w:tab/>
            </w:r>
            <w:r>
              <w:rPr>
                <w:noProof/>
                <w:webHidden/>
              </w:rPr>
              <w:fldChar w:fldCharType="begin"/>
            </w:r>
            <w:r>
              <w:rPr>
                <w:noProof/>
                <w:webHidden/>
              </w:rPr>
              <w:instrText xml:space="preserve"> PAGEREF _Toc197974986 \h </w:instrText>
            </w:r>
            <w:r>
              <w:rPr>
                <w:noProof/>
                <w:webHidden/>
              </w:rPr>
            </w:r>
            <w:r>
              <w:rPr>
                <w:noProof/>
                <w:webHidden/>
              </w:rPr>
              <w:fldChar w:fldCharType="separate"/>
            </w:r>
            <w:r>
              <w:rPr>
                <w:noProof/>
                <w:webHidden/>
              </w:rPr>
              <w:t>18</w:t>
            </w:r>
            <w:r>
              <w:rPr>
                <w:noProof/>
                <w:webHidden/>
              </w:rPr>
              <w:fldChar w:fldCharType="end"/>
            </w:r>
          </w:hyperlink>
        </w:p>
        <w:p w14:paraId="3B6A6E51" w14:textId="4FB4A0BA" w:rsidR="00266358" w:rsidRDefault="00266358">
          <w:pPr>
            <w:pStyle w:val="24"/>
            <w:tabs>
              <w:tab w:val="right" w:leader="dot" w:pos="9204"/>
            </w:tabs>
            <w:rPr>
              <w:rFonts w:eastAsiaTheme="minorEastAsia"/>
              <w:noProof/>
              <w:lang w:eastAsia="el-GR"/>
            </w:rPr>
          </w:pPr>
          <w:hyperlink w:anchor="_Toc197974987" w:history="1">
            <w:r w:rsidRPr="00BB4AF6">
              <w:rPr>
                <w:rStyle w:val="-"/>
                <w:rFonts w:ascii="Arial" w:hAnsi="Arial"/>
                <w:noProof/>
                <w:lang w:val="en-US"/>
              </w:rPr>
              <w:t>ARTICLE 17. ORIGINAL</w:t>
            </w:r>
            <w:r>
              <w:rPr>
                <w:noProof/>
                <w:webHidden/>
              </w:rPr>
              <w:tab/>
            </w:r>
            <w:r>
              <w:rPr>
                <w:noProof/>
                <w:webHidden/>
              </w:rPr>
              <w:fldChar w:fldCharType="begin"/>
            </w:r>
            <w:r>
              <w:rPr>
                <w:noProof/>
                <w:webHidden/>
              </w:rPr>
              <w:instrText xml:space="preserve"> PAGEREF _Toc197974987 \h </w:instrText>
            </w:r>
            <w:r>
              <w:rPr>
                <w:noProof/>
                <w:webHidden/>
              </w:rPr>
            </w:r>
            <w:r>
              <w:rPr>
                <w:noProof/>
                <w:webHidden/>
              </w:rPr>
              <w:fldChar w:fldCharType="separate"/>
            </w:r>
            <w:r>
              <w:rPr>
                <w:noProof/>
                <w:webHidden/>
              </w:rPr>
              <w:t>19</w:t>
            </w:r>
            <w:r>
              <w:rPr>
                <w:noProof/>
                <w:webHidden/>
              </w:rPr>
              <w:fldChar w:fldCharType="end"/>
            </w:r>
          </w:hyperlink>
        </w:p>
        <w:p w14:paraId="7D16E7DF" w14:textId="3C2A10A8" w:rsidR="00266358" w:rsidRDefault="00266358">
          <w:pPr>
            <w:pStyle w:val="24"/>
            <w:tabs>
              <w:tab w:val="right" w:leader="dot" w:pos="9204"/>
            </w:tabs>
            <w:rPr>
              <w:rFonts w:eastAsiaTheme="minorEastAsia"/>
              <w:noProof/>
              <w:lang w:eastAsia="el-GR"/>
            </w:rPr>
          </w:pPr>
          <w:hyperlink w:anchor="_Toc197974988" w:history="1">
            <w:r w:rsidRPr="00BB4AF6">
              <w:rPr>
                <w:rStyle w:val="-"/>
                <w:rFonts w:ascii="Arial" w:hAnsi="Arial"/>
                <w:noProof/>
                <w:lang w:val="en-US"/>
              </w:rPr>
              <w:t>ARTICLE 18. EVALUATION OF THE PSP</w:t>
            </w:r>
            <w:r>
              <w:rPr>
                <w:noProof/>
                <w:webHidden/>
              </w:rPr>
              <w:tab/>
            </w:r>
            <w:r>
              <w:rPr>
                <w:noProof/>
                <w:webHidden/>
              </w:rPr>
              <w:fldChar w:fldCharType="begin"/>
            </w:r>
            <w:r>
              <w:rPr>
                <w:noProof/>
                <w:webHidden/>
              </w:rPr>
              <w:instrText xml:space="preserve"> PAGEREF _Toc197974988 \h </w:instrText>
            </w:r>
            <w:r>
              <w:rPr>
                <w:noProof/>
                <w:webHidden/>
              </w:rPr>
            </w:r>
            <w:r>
              <w:rPr>
                <w:noProof/>
                <w:webHidden/>
              </w:rPr>
              <w:fldChar w:fldCharType="separate"/>
            </w:r>
            <w:r>
              <w:rPr>
                <w:noProof/>
                <w:webHidden/>
              </w:rPr>
              <w:t>19</w:t>
            </w:r>
            <w:r>
              <w:rPr>
                <w:noProof/>
                <w:webHidden/>
              </w:rPr>
              <w:fldChar w:fldCharType="end"/>
            </w:r>
          </w:hyperlink>
        </w:p>
        <w:p w14:paraId="72CA5D08" w14:textId="5516F9DD" w:rsidR="00266358" w:rsidRDefault="00266358">
          <w:pPr>
            <w:pStyle w:val="24"/>
            <w:tabs>
              <w:tab w:val="right" w:leader="dot" w:pos="9204"/>
            </w:tabs>
            <w:rPr>
              <w:rFonts w:eastAsiaTheme="minorEastAsia"/>
              <w:noProof/>
              <w:lang w:eastAsia="el-GR"/>
            </w:rPr>
          </w:pPr>
          <w:hyperlink w:anchor="_Toc197974989" w:history="1">
            <w:r w:rsidRPr="00BB4AF6">
              <w:rPr>
                <w:rStyle w:val="-"/>
                <w:rFonts w:ascii="Arial" w:hAnsi="Arial"/>
                <w:noProof/>
                <w:lang w:val="en-US"/>
              </w:rPr>
              <w:t>ARTICLE 19. DURATION OF THE OPERATION OF THE PSP</w:t>
            </w:r>
            <w:r>
              <w:rPr>
                <w:noProof/>
                <w:webHidden/>
              </w:rPr>
              <w:tab/>
            </w:r>
            <w:r>
              <w:rPr>
                <w:noProof/>
                <w:webHidden/>
              </w:rPr>
              <w:fldChar w:fldCharType="begin"/>
            </w:r>
            <w:r>
              <w:rPr>
                <w:noProof/>
                <w:webHidden/>
              </w:rPr>
              <w:instrText xml:space="preserve"> PAGEREF _Toc197974989 \h </w:instrText>
            </w:r>
            <w:r>
              <w:rPr>
                <w:noProof/>
                <w:webHidden/>
              </w:rPr>
            </w:r>
            <w:r>
              <w:rPr>
                <w:noProof/>
                <w:webHidden/>
              </w:rPr>
              <w:fldChar w:fldCharType="separate"/>
            </w:r>
            <w:r>
              <w:rPr>
                <w:noProof/>
                <w:webHidden/>
              </w:rPr>
              <w:t>19</w:t>
            </w:r>
            <w:r>
              <w:rPr>
                <w:noProof/>
                <w:webHidden/>
              </w:rPr>
              <w:fldChar w:fldCharType="end"/>
            </w:r>
          </w:hyperlink>
        </w:p>
        <w:p w14:paraId="585FE208" w14:textId="239D0CFE" w:rsidR="00266358" w:rsidRDefault="00266358">
          <w:pPr>
            <w:pStyle w:val="24"/>
            <w:tabs>
              <w:tab w:val="right" w:leader="dot" w:pos="9204"/>
            </w:tabs>
            <w:rPr>
              <w:rFonts w:eastAsiaTheme="minorEastAsia"/>
              <w:noProof/>
              <w:lang w:eastAsia="el-GR"/>
            </w:rPr>
          </w:pPr>
          <w:hyperlink w:anchor="_Toc197974990" w:history="1">
            <w:r w:rsidRPr="00BB4AF6">
              <w:rPr>
                <w:rStyle w:val="-"/>
                <w:rFonts w:ascii="Arial" w:hAnsi="Arial"/>
                <w:noProof/>
                <w:lang w:val="en-US"/>
              </w:rPr>
              <w:t>ARTICLE 20. WEBSITE OF THE PSP</w:t>
            </w:r>
            <w:r>
              <w:rPr>
                <w:noProof/>
                <w:webHidden/>
              </w:rPr>
              <w:tab/>
            </w:r>
            <w:r>
              <w:rPr>
                <w:noProof/>
                <w:webHidden/>
              </w:rPr>
              <w:fldChar w:fldCharType="begin"/>
            </w:r>
            <w:r>
              <w:rPr>
                <w:noProof/>
                <w:webHidden/>
              </w:rPr>
              <w:instrText xml:space="preserve"> PAGEREF _Toc197974990 \h </w:instrText>
            </w:r>
            <w:r>
              <w:rPr>
                <w:noProof/>
                <w:webHidden/>
              </w:rPr>
            </w:r>
            <w:r>
              <w:rPr>
                <w:noProof/>
                <w:webHidden/>
              </w:rPr>
              <w:fldChar w:fldCharType="separate"/>
            </w:r>
            <w:r>
              <w:rPr>
                <w:noProof/>
                <w:webHidden/>
              </w:rPr>
              <w:t>19</w:t>
            </w:r>
            <w:r>
              <w:rPr>
                <w:noProof/>
                <w:webHidden/>
              </w:rPr>
              <w:fldChar w:fldCharType="end"/>
            </w:r>
          </w:hyperlink>
        </w:p>
        <w:p w14:paraId="716F3CEC" w14:textId="230FCBF5" w:rsidR="00266358" w:rsidRDefault="00266358">
          <w:pPr>
            <w:pStyle w:val="24"/>
            <w:tabs>
              <w:tab w:val="right" w:leader="dot" w:pos="9204"/>
            </w:tabs>
            <w:rPr>
              <w:rFonts w:eastAsiaTheme="minorEastAsia"/>
              <w:noProof/>
              <w:lang w:eastAsia="el-GR"/>
            </w:rPr>
          </w:pPr>
          <w:hyperlink w:anchor="_Toc197974991" w:history="1">
            <w:r w:rsidRPr="00BB4AF6">
              <w:rPr>
                <w:rStyle w:val="-"/>
                <w:rFonts w:ascii="Arial" w:hAnsi="Arial"/>
                <w:noProof/>
                <w:lang w:val="en-US"/>
              </w:rPr>
              <w:t>ARTICLE 21. TRANSITIONAL ARRANGEMENTS</w:t>
            </w:r>
            <w:r>
              <w:rPr>
                <w:noProof/>
                <w:webHidden/>
              </w:rPr>
              <w:tab/>
            </w:r>
            <w:r>
              <w:rPr>
                <w:noProof/>
                <w:webHidden/>
              </w:rPr>
              <w:fldChar w:fldCharType="begin"/>
            </w:r>
            <w:r>
              <w:rPr>
                <w:noProof/>
                <w:webHidden/>
              </w:rPr>
              <w:instrText xml:space="preserve"> PAGEREF _Toc197974991 \h </w:instrText>
            </w:r>
            <w:r>
              <w:rPr>
                <w:noProof/>
                <w:webHidden/>
              </w:rPr>
            </w:r>
            <w:r>
              <w:rPr>
                <w:noProof/>
                <w:webHidden/>
              </w:rPr>
              <w:fldChar w:fldCharType="separate"/>
            </w:r>
            <w:r>
              <w:rPr>
                <w:noProof/>
                <w:webHidden/>
              </w:rPr>
              <w:t>20</w:t>
            </w:r>
            <w:r>
              <w:rPr>
                <w:noProof/>
                <w:webHidden/>
              </w:rPr>
              <w:fldChar w:fldCharType="end"/>
            </w:r>
          </w:hyperlink>
        </w:p>
        <w:p w14:paraId="0AE89A0D" w14:textId="30104B0C" w:rsidR="00266358" w:rsidRDefault="00266358">
          <w:r>
            <w:rPr>
              <w:b/>
              <w:bCs/>
            </w:rPr>
            <w:fldChar w:fldCharType="end"/>
          </w:r>
        </w:p>
      </w:sdtContent>
    </w:sdt>
    <w:p w14:paraId="648DEA66" w14:textId="77777777" w:rsidR="006D3752" w:rsidRDefault="006D3752" w:rsidP="006D3752">
      <w:pPr>
        <w:spacing w:after="0" w:line="240" w:lineRule="auto"/>
        <w:rPr>
          <w:rFonts w:ascii="Calibri" w:hAnsi="Calibri" w:cs="Calibri"/>
          <w:sz w:val="24"/>
          <w:szCs w:val="24"/>
          <w:lang w:val="en-US"/>
        </w:rPr>
      </w:pPr>
    </w:p>
    <w:p w14:paraId="33664650" w14:textId="77777777" w:rsidR="006D3752" w:rsidRDefault="006D3752" w:rsidP="006D3752">
      <w:pPr>
        <w:spacing w:after="0" w:line="240" w:lineRule="auto"/>
        <w:rPr>
          <w:rStyle w:val="normalchar1"/>
          <w:rFonts w:ascii="Arial Narrow" w:hAnsi="Arial Narrow"/>
          <w:b/>
          <w:bCs/>
          <w:lang w:eastAsia="ja-JP"/>
        </w:rPr>
      </w:pPr>
    </w:p>
    <w:p w14:paraId="75A43D2E" w14:textId="77777777" w:rsidR="006D3752" w:rsidRDefault="006D3752" w:rsidP="006D3752">
      <w:pPr>
        <w:pStyle w:val="2"/>
        <w:spacing w:before="0" w:after="120"/>
        <w:rPr>
          <w:rFonts w:cs="Times New Roman"/>
        </w:rPr>
      </w:pPr>
    </w:p>
    <w:p w14:paraId="38CC10E9" w14:textId="77777777" w:rsidR="006D3752" w:rsidRDefault="006D3752" w:rsidP="006D3752">
      <w:pPr>
        <w:rPr>
          <w:rFonts w:ascii="Segoe UI" w:eastAsia="Times New Roman" w:hAnsi="Segoe UI"/>
          <w:b/>
          <w:color w:val="2E74B5"/>
          <w:sz w:val="24"/>
          <w:szCs w:val="26"/>
          <w:lang w:eastAsia="ko-KR"/>
        </w:rPr>
      </w:pPr>
      <w:r>
        <w:br w:type="page"/>
      </w:r>
    </w:p>
    <w:p w14:paraId="07B19696" w14:textId="77777777" w:rsidR="006D3752" w:rsidRDefault="006D3752" w:rsidP="006D3752">
      <w:pPr>
        <w:pStyle w:val="2"/>
        <w:spacing w:before="0" w:after="120" w:line="254" w:lineRule="auto"/>
        <w:rPr>
          <w:rStyle w:val="normalchar1"/>
          <w:rFonts w:ascii="Calibri" w:hAnsi="Calibri"/>
          <w:sz w:val="26"/>
          <w:lang w:val="en-US"/>
        </w:rPr>
      </w:pPr>
      <w:bookmarkStart w:id="1" w:name="_Toc197974928"/>
      <w:bookmarkStart w:id="2" w:name="_Toc197974969"/>
      <w:r w:rsidRPr="006D3752">
        <w:rPr>
          <w:rStyle w:val="normalchar1"/>
          <w:sz w:val="26"/>
          <w:lang w:val="en-US"/>
        </w:rPr>
        <w:lastRenderedPageBreak/>
        <w:t>INTRODUCTION</w:t>
      </w:r>
      <w:bookmarkEnd w:id="1"/>
      <w:bookmarkEnd w:id="2"/>
    </w:p>
    <w:p w14:paraId="42EAA719" w14:textId="55D62C5B" w:rsidR="006D3752" w:rsidRPr="006D3752" w:rsidRDefault="006D3752" w:rsidP="006D3752">
      <w:pPr>
        <w:spacing w:after="120"/>
        <w:rPr>
          <w:rFonts w:eastAsia="Calibri" w:cs="Calibri"/>
          <w:color w:val="000000"/>
          <w:lang w:val="en-US"/>
        </w:rPr>
      </w:pPr>
      <w:r>
        <w:rPr>
          <w:rFonts w:cs="Calibri"/>
          <w:color w:val="000000"/>
          <w:lang w:val="en-US"/>
        </w:rPr>
        <w:t>The MSc entitled: "</w:t>
      </w:r>
      <w:r w:rsidR="008E61B8" w:rsidRPr="008E61B8">
        <w:rPr>
          <w:rFonts w:cs="Calibri"/>
          <w:b/>
          <w:bCs/>
          <w:i/>
          <w:color w:val="000000"/>
          <w:lang w:val="en-US"/>
        </w:rPr>
        <w:t>MSc in Governm</w:t>
      </w:r>
      <w:r w:rsidR="008E61B8">
        <w:rPr>
          <w:rFonts w:cs="Calibri"/>
          <w:b/>
          <w:bCs/>
          <w:i/>
          <w:color w:val="000000"/>
          <w:lang w:val="en-US"/>
        </w:rPr>
        <w:t>ent Digital Innovation and Transformation</w:t>
      </w:r>
      <w:r>
        <w:rPr>
          <w:rFonts w:cs="Calibri"/>
          <w:i/>
          <w:color w:val="000000"/>
          <w:lang w:val="en-US"/>
        </w:rPr>
        <w:t xml:space="preserve">" </w:t>
      </w:r>
      <w:r>
        <w:rPr>
          <w:rFonts w:cs="Calibri"/>
          <w:color w:val="000000"/>
          <w:lang w:val="en-US"/>
        </w:rPr>
        <w:t>of the Department of Business Administration of the University of Thessaly operates in accordance with the provisions of Law 4957/2022, as amended and in force.</w:t>
      </w:r>
    </w:p>
    <w:p w14:paraId="3F19432C" w14:textId="1955C5DE" w:rsidR="006D3752" w:rsidRDefault="006D3752" w:rsidP="006D3752">
      <w:pPr>
        <w:spacing w:after="120"/>
        <w:rPr>
          <w:rFonts w:cs="Calibri"/>
          <w:color w:val="000000"/>
          <w:lang w:val="en-US"/>
        </w:rPr>
      </w:pPr>
      <w:r>
        <w:rPr>
          <w:rFonts w:cs="Calibri"/>
          <w:color w:val="000000"/>
          <w:lang w:val="en-US"/>
        </w:rPr>
        <w:t xml:space="preserve">The Internal Regulations of the </w:t>
      </w:r>
      <w:r w:rsidR="008E61B8" w:rsidRPr="008E61B8">
        <w:rPr>
          <w:rFonts w:cs="Calibri"/>
          <w:b/>
          <w:bCs/>
          <w:i/>
          <w:color w:val="000000"/>
          <w:lang w:val="en-US"/>
        </w:rPr>
        <w:t>MSc in Government Digital Innovation and Transformation</w:t>
      </w:r>
      <w:r w:rsidR="008E61B8" w:rsidRPr="008E61B8">
        <w:rPr>
          <w:rFonts w:cs="Calibri"/>
          <w:color w:val="000000"/>
          <w:lang w:val="en-US"/>
        </w:rPr>
        <w:t xml:space="preserve"> </w:t>
      </w:r>
      <w:r>
        <w:rPr>
          <w:rFonts w:cs="Calibri"/>
          <w:color w:val="000000"/>
          <w:lang w:val="en-US"/>
        </w:rPr>
        <w:t xml:space="preserve">follow the General Regulations for Postgraduate Studies of the University of Thessaly - </w:t>
      </w:r>
      <w:hyperlink r:id="rId10" w:history="1">
        <w:r w:rsidRPr="006D3752">
          <w:rPr>
            <w:rStyle w:val="-"/>
            <w:rFonts w:cs="Calibri"/>
            <w:lang w:val="en-US"/>
          </w:rPr>
          <w:t>https://www.uth.gr/sites/default/files/contents/2023/20230222_kanonismos.</w:t>
        </w:r>
      </w:hyperlink>
      <w:hyperlink r:id="rId11" w:history="1">
        <w:r w:rsidRPr="006D3752">
          <w:rPr>
            <w:rStyle w:val="-"/>
            <w:rFonts w:cs="Calibri"/>
            <w:lang w:val="en-US"/>
          </w:rPr>
          <w:t>pdf</w:t>
        </w:r>
      </w:hyperlink>
      <w:r>
        <w:rPr>
          <w:rFonts w:cs="Calibri"/>
          <w:lang w:val="en-US"/>
        </w:rPr>
        <w:t xml:space="preserve"> and </w:t>
      </w:r>
      <w:r>
        <w:rPr>
          <w:rFonts w:cs="Calibri"/>
          <w:color w:val="000000"/>
          <w:lang w:val="en-US"/>
        </w:rPr>
        <w:t>is initially approved by the Assembly of the Department of Business Administration of the University of Thessaly and then by the Senate of the University of Thessaly, after the agreement of the Postgraduate Studies Committee of the University of Thessaly and then published in the Government Gazette, posted on the website of the Department, notified to the Ministry of Education and Culture. Religious Affairs and comes into force.</w:t>
      </w:r>
    </w:p>
    <w:p w14:paraId="4732C7B3" w14:textId="77777777" w:rsidR="006D3752" w:rsidRDefault="006D3752" w:rsidP="006D3752">
      <w:pPr>
        <w:spacing w:after="120"/>
        <w:rPr>
          <w:rFonts w:cs="Calibri"/>
          <w:color w:val="000000"/>
          <w:lang w:val="en-US"/>
        </w:rPr>
      </w:pPr>
      <w:r>
        <w:rPr>
          <w:rFonts w:cs="Calibri"/>
          <w:color w:val="000000"/>
          <w:lang w:val="en-US"/>
        </w:rPr>
        <w:t>The Internal Regulations may be amended and revised periodically with continuous improvements and updates, without losing its basic structure and content, by decision of the Assembly of the Department of Business Administration of the University of Thessaly, following a relevant recommendation of the Director of the D.P.M.S. and approval by the Senate.</w:t>
      </w:r>
    </w:p>
    <w:p w14:paraId="0223FA45" w14:textId="77777777" w:rsidR="006D3752" w:rsidRPr="006D3752" w:rsidRDefault="006D3752" w:rsidP="006D3752">
      <w:pPr>
        <w:pStyle w:val="2"/>
        <w:spacing w:before="0" w:after="120" w:line="254" w:lineRule="auto"/>
        <w:rPr>
          <w:rStyle w:val="normalchar1"/>
          <w:rFonts w:ascii="Segoe UI" w:hAnsi="Segoe UI" w:cs="Segoe UI"/>
          <w:bCs/>
          <w:color w:val="2E74B5"/>
          <w:lang w:val="en-US"/>
        </w:rPr>
      </w:pPr>
    </w:p>
    <w:p w14:paraId="3944CD2F" w14:textId="77777777" w:rsidR="006D3752" w:rsidRPr="006D3752" w:rsidRDefault="006D3752" w:rsidP="006D3752">
      <w:pPr>
        <w:pStyle w:val="2"/>
        <w:spacing w:before="0" w:after="120" w:line="254" w:lineRule="auto"/>
        <w:rPr>
          <w:rFonts w:eastAsia="Times New Roman" w:cs="Times New Roman"/>
          <w:sz w:val="26"/>
          <w:lang w:val="en-US"/>
        </w:rPr>
      </w:pPr>
      <w:bookmarkStart w:id="3" w:name="_Toc197974929"/>
      <w:bookmarkStart w:id="4" w:name="_Toc197974970"/>
      <w:r w:rsidRPr="006D3752">
        <w:rPr>
          <w:rStyle w:val="normalchar1"/>
          <w:sz w:val="26"/>
          <w:lang w:val="en-US"/>
        </w:rPr>
        <w:t>ARTICLE 1. OBJECT AND PURPOSE</w:t>
      </w:r>
      <w:bookmarkEnd w:id="3"/>
      <w:bookmarkEnd w:id="4"/>
      <w:r w:rsidRPr="006D3752">
        <w:rPr>
          <w:rStyle w:val="normalchar1"/>
          <w:sz w:val="26"/>
          <w:lang w:val="en-US"/>
        </w:rPr>
        <w:t xml:space="preserve"> </w:t>
      </w:r>
    </w:p>
    <w:p w14:paraId="65988BB2" w14:textId="77777777" w:rsidR="00AE52DD" w:rsidRPr="00AC4BFE" w:rsidRDefault="00AE52DD" w:rsidP="00AC4BFE">
      <w:pPr>
        <w:spacing w:after="120" w:line="254" w:lineRule="auto"/>
        <w:ind w:right="166"/>
        <w:rPr>
          <w:rFonts w:cs="Calibri"/>
          <w:color w:val="000000"/>
          <w:lang w:val="en-US"/>
        </w:rPr>
      </w:pPr>
      <w:r w:rsidRPr="00AC4BFE">
        <w:rPr>
          <w:rFonts w:cs="Calibri"/>
          <w:color w:val="000000"/>
          <w:lang w:val="en-US"/>
        </w:rPr>
        <w:t>Although there is no universally accepted definition, recent research defines digital transformation as "the process of fundamental change driven by digital technologies, aiming to achieve radical improvements and innovations in an entity (organization, business, industry, or society), with the goal of creating value for its stakeholders through strategic balancing of its critical resources and capabilities." This definition suggests that digital transformation primarily concerns change management and less about technology, which makes the development of appropriate management tools even more crucial. In this sense, digital transformation is being systematically approached at international, European, and national levels, through the formulation and implementation of corresponding strategies. Similar actions are recorded in a range of cities and societies, as well as organizations and businesses, while large-scale initiatives are also being funded in less developed countries.</w:t>
      </w:r>
    </w:p>
    <w:p w14:paraId="28341B3C" w14:textId="77777777" w:rsidR="00AE52DD" w:rsidRPr="00AC4BFE" w:rsidRDefault="00AE52DD" w:rsidP="00AC4BFE">
      <w:pPr>
        <w:spacing w:after="120" w:line="254" w:lineRule="auto"/>
        <w:ind w:right="166"/>
        <w:rPr>
          <w:rFonts w:cs="Calibri"/>
          <w:color w:val="000000"/>
          <w:lang w:val="en-US"/>
        </w:rPr>
      </w:pPr>
      <w:r w:rsidRPr="00AC4BFE">
        <w:rPr>
          <w:rFonts w:cs="Calibri"/>
          <w:color w:val="000000"/>
          <w:lang w:val="en-US"/>
        </w:rPr>
        <w:t>The digital transformation of the public sector represents a significant challenge, as despite the implementation of large-scale strategies for digital governance, goals that align with the efficiency of transactions and the achievement of smart governance are still being set (Anthopoulos et al., 2021), where technology leads to self-evolving public services. A critical success factor is the presence of properly trained personnel in the public sector, particularly in the new required skills and technologies that can overcome the barriers of resistance to change, as well as other types of failures in the implementation of digital governance programs (Anthopoulos et al., 2016).</w:t>
      </w:r>
    </w:p>
    <w:p w14:paraId="72059207" w14:textId="77777777" w:rsidR="00AE52DD" w:rsidRPr="00AC4BFE" w:rsidRDefault="00AE52DD" w:rsidP="00AC4BFE">
      <w:pPr>
        <w:spacing w:after="120" w:line="254" w:lineRule="auto"/>
        <w:ind w:right="166"/>
        <w:rPr>
          <w:rFonts w:cs="Calibri"/>
          <w:color w:val="000000"/>
          <w:lang w:val="en-US"/>
        </w:rPr>
      </w:pPr>
      <w:r w:rsidRPr="00AC4BFE">
        <w:rPr>
          <w:rFonts w:cs="Calibri"/>
          <w:color w:val="000000"/>
          <w:lang w:val="en-US"/>
        </w:rPr>
        <w:t>Therefore, the proposed postgraduate program aims to present students with the challenges faced by governments, as well as to help them understand the emerging opportunities and issues the public administration faces in their digital transformation. Furthermore, it aims to provide them with the necessary knowledge required for the design, management, and implementation of digital technologies in the public sector.</w:t>
      </w:r>
    </w:p>
    <w:p w14:paraId="5AC01073" w14:textId="77777777" w:rsidR="00AE52DD" w:rsidRPr="00AE52DD" w:rsidRDefault="00AE52DD" w:rsidP="00AE52DD">
      <w:pPr>
        <w:pStyle w:val="af1"/>
        <w:numPr>
          <w:ilvl w:val="0"/>
          <w:numId w:val="16"/>
        </w:numPr>
        <w:spacing w:after="120" w:line="254" w:lineRule="auto"/>
        <w:ind w:right="166"/>
        <w:rPr>
          <w:rFonts w:asciiTheme="minorHAnsi" w:eastAsiaTheme="minorHAnsi" w:hAnsiTheme="minorHAnsi" w:cs="Calibri"/>
          <w:color w:val="000000"/>
          <w:sz w:val="22"/>
          <w:szCs w:val="22"/>
          <w:lang w:val="en-US" w:eastAsia="en-US"/>
        </w:rPr>
      </w:pPr>
      <w:r w:rsidRPr="00AE52DD">
        <w:rPr>
          <w:rFonts w:asciiTheme="minorHAnsi" w:eastAsiaTheme="minorHAnsi" w:hAnsiTheme="minorHAnsi" w:cs="Calibri"/>
          <w:color w:val="000000"/>
          <w:sz w:val="22"/>
          <w:szCs w:val="22"/>
          <w:lang w:val="en-US" w:eastAsia="en-US"/>
        </w:rPr>
        <w:t>The MSc in "Government Digital Innovation and Transformation" follows a modern yet innovative interdisciplinary approach, according to which graduates of the program will be able to:</w:t>
      </w:r>
    </w:p>
    <w:p w14:paraId="1543FA00" w14:textId="77777777" w:rsidR="00AE52DD" w:rsidRPr="00AE52DD" w:rsidRDefault="00AE52DD" w:rsidP="00AE52DD">
      <w:pPr>
        <w:pStyle w:val="af1"/>
        <w:numPr>
          <w:ilvl w:val="0"/>
          <w:numId w:val="16"/>
        </w:numPr>
        <w:spacing w:after="120" w:line="254" w:lineRule="auto"/>
        <w:ind w:right="166"/>
        <w:rPr>
          <w:rFonts w:asciiTheme="minorHAnsi" w:eastAsiaTheme="minorHAnsi" w:hAnsiTheme="minorHAnsi" w:cs="Calibri"/>
          <w:color w:val="000000"/>
          <w:sz w:val="22"/>
          <w:szCs w:val="22"/>
          <w:lang w:val="en-US" w:eastAsia="en-US"/>
        </w:rPr>
      </w:pPr>
      <w:r w:rsidRPr="00AE52DD">
        <w:rPr>
          <w:rFonts w:asciiTheme="minorHAnsi" w:eastAsiaTheme="minorHAnsi" w:hAnsiTheme="minorHAnsi" w:cs="Calibri"/>
          <w:color w:val="000000"/>
          <w:sz w:val="22"/>
          <w:szCs w:val="22"/>
          <w:lang w:val="en-US" w:eastAsia="en-US"/>
        </w:rPr>
        <w:t>Understand the theoretical background of digital transformation and digital governance.</w:t>
      </w:r>
    </w:p>
    <w:p w14:paraId="6BDA8CE4" w14:textId="77777777" w:rsidR="00AE52DD" w:rsidRPr="00AE52DD" w:rsidRDefault="00AE52DD" w:rsidP="00AE52DD">
      <w:pPr>
        <w:pStyle w:val="af1"/>
        <w:numPr>
          <w:ilvl w:val="0"/>
          <w:numId w:val="16"/>
        </w:numPr>
        <w:spacing w:after="120" w:line="254" w:lineRule="auto"/>
        <w:ind w:right="166"/>
        <w:rPr>
          <w:rFonts w:asciiTheme="minorHAnsi" w:eastAsiaTheme="minorHAnsi" w:hAnsiTheme="minorHAnsi" w:cs="Calibri"/>
          <w:color w:val="000000"/>
          <w:sz w:val="22"/>
          <w:szCs w:val="22"/>
          <w:lang w:val="en-US" w:eastAsia="en-US"/>
        </w:rPr>
      </w:pPr>
      <w:r w:rsidRPr="00AE52DD">
        <w:rPr>
          <w:rFonts w:asciiTheme="minorHAnsi" w:eastAsiaTheme="minorHAnsi" w:hAnsiTheme="minorHAnsi" w:cs="Calibri"/>
          <w:color w:val="000000"/>
          <w:sz w:val="22"/>
          <w:szCs w:val="22"/>
          <w:lang w:val="en-US" w:eastAsia="en-US"/>
        </w:rPr>
        <w:t>Manage the development of strategy and innovation in public administration.</w:t>
      </w:r>
    </w:p>
    <w:p w14:paraId="3A5BFE31" w14:textId="77777777" w:rsidR="00AE52DD" w:rsidRPr="00AE52DD" w:rsidRDefault="00AE52DD" w:rsidP="00AE52DD">
      <w:pPr>
        <w:pStyle w:val="af1"/>
        <w:numPr>
          <w:ilvl w:val="0"/>
          <w:numId w:val="16"/>
        </w:numPr>
        <w:spacing w:after="120" w:line="254" w:lineRule="auto"/>
        <w:ind w:right="166"/>
        <w:rPr>
          <w:rFonts w:asciiTheme="minorHAnsi" w:eastAsiaTheme="minorHAnsi" w:hAnsiTheme="minorHAnsi" w:cs="Calibri"/>
          <w:color w:val="000000"/>
          <w:sz w:val="22"/>
          <w:szCs w:val="22"/>
          <w:lang w:val="en-US" w:eastAsia="en-US"/>
        </w:rPr>
      </w:pPr>
      <w:r w:rsidRPr="00AE52DD">
        <w:rPr>
          <w:rFonts w:asciiTheme="minorHAnsi" w:eastAsiaTheme="minorHAnsi" w:hAnsiTheme="minorHAnsi" w:cs="Calibri"/>
          <w:color w:val="000000"/>
          <w:sz w:val="22"/>
          <w:szCs w:val="22"/>
          <w:lang w:val="en-US" w:eastAsia="en-US"/>
        </w:rPr>
        <w:lastRenderedPageBreak/>
        <w:t>Manage the sustainable development of projects in the public sector.</w:t>
      </w:r>
    </w:p>
    <w:p w14:paraId="76335EE9" w14:textId="77777777" w:rsidR="00AE52DD" w:rsidRPr="00AE52DD" w:rsidRDefault="00AE52DD" w:rsidP="00AE52DD">
      <w:pPr>
        <w:pStyle w:val="af1"/>
        <w:numPr>
          <w:ilvl w:val="0"/>
          <w:numId w:val="16"/>
        </w:numPr>
        <w:spacing w:after="120" w:line="254" w:lineRule="auto"/>
        <w:ind w:right="166"/>
        <w:rPr>
          <w:rFonts w:asciiTheme="minorHAnsi" w:eastAsiaTheme="minorHAnsi" w:hAnsiTheme="minorHAnsi" w:cs="Calibri"/>
          <w:color w:val="000000"/>
          <w:sz w:val="22"/>
          <w:szCs w:val="22"/>
          <w:lang w:val="en-US" w:eastAsia="en-US"/>
        </w:rPr>
      </w:pPr>
      <w:r w:rsidRPr="00AE52DD">
        <w:rPr>
          <w:rFonts w:asciiTheme="minorHAnsi" w:eastAsiaTheme="minorHAnsi" w:hAnsiTheme="minorHAnsi" w:cs="Calibri"/>
          <w:color w:val="000000"/>
          <w:sz w:val="22"/>
          <w:szCs w:val="22"/>
          <w:lang w:val="en-US" w:eastAsia="en-US"/>
        </w:rPr>
        <w:t>Organize and manage data generated in the public sector and understand its use in governance.</w:t>
      </w:r>
    </w:p>
    <w:p w14:paraId="2BCD0AEE" w14:textId="77777777" w:rsidR="00AE52DD" w:rsidRPr="00AE52DD" w:rsidRDefault="00AE52DD" w:rsidP="00AE52DD">
      <w:pPr>
        <w:pStyle w:val="af1"/>
        <w:numPr>
          <w:ilvl w:val="0"/>
          <w:numId w:val="16"/>
        </w:numPr>
        <w:spacing w:after="120" w:line="254" w:lineRule="auto"/>
        <w:ind w:right="166"/>
        <w:rPr>
          <w:rFonts w:asciiTheme="minorHAnsi" w:eastAsiaTheme="minorHAnsi" w:hAnsiTheme="minorHAnsi" w:cs="Calibri"/>
          <w:color w:val="000000"/>
          <w:sz w:val="22"/>
          <w:szCs w:val="22"/>
          <w:lang w:val="en-US" w:eastAsia="en-US"/>
        </w:rPr>
      </w:pPr>
      <w:r w:rsidRPr="00AE52DD">
        <w:rPr>
          <w:rFonts w:asciiTheme="minorHAnsi" w:eastAsiaTheme="minorHAnsi" w:hAnsiTheme="minorHAnsi" w:cs="Calibri"/>
          <w:color w:val="000000"/>
          <w:sz w:val="22"/>
          <w:szCs w:val="22"/>
          <w:lang w:val="en-US" w:eastAsia="en-US"/>
        </w:rPr>
        <w:t>Understand the techniques for activating citizens.</w:t>
      </w:r>
    </w:p>
    <w:p w14:paraId="742910B8" w14:textId="77777777" w:rsidR="00AE52DD" w:rsidRPr="00AE52DD" w:rsidRDefault="00AE52DD" w:rsidP="00AE52DD">
      <w:pPr>
        <w:pStyle w:val="af1"/>
        <w:numPr>
          <w:ilvl w:val="0"/>
          <w:numId w:val="16"/>
        </w:numPr>
        <w:spacing w:after="120" w:line="254" w:lineRule="auto"/>
        <w:ind w:right="166"/>
        <w:rPr>
          <w:rFonts w:asciiTheme="minorHAnsi" w:eastAsiaTheme="minorHAnsi" w:hAnsiTheme="minorHAnsi" w:cs="Calibri"/>
          <w:color w:val="000000"/>
          <w:sz w:val="22"/>
          <w:szCs w:val="22"/>
          <w:lang w:val="en-US" w:eastAsia="en-US"/>
        </w:rPr>
      </w:pPr>
      <w:r w:rsidRPr="00AE52DD">
        <w:rPr>
          <w:rFonts w:asciiTheme="minorHAnsi" w:eastAsiaTheme="minorHAnsi" w:hAnsiTheme="minorHAnsi" w:cs="Calibri"/>
          <w:color w:val="000000"/>
          <w:sz w:val="22"/>
          <w:szCs w:val="22"/>
          <w:lang w:val="en-US" w:eastAsia="en-US"/>
        </w:rPr>
        <w:t>Understand the core modern technologies in the public sector such as cloud computing, artificial intelligence, big data analytics, security, privacy, etc.</w:t>
      </w:r>
    </w:p>
    <w:p w14:paraId="197D827C" w14:textId="2ABAF2F7" w:rsidR="006D3752" w:rsidRPr="00C42A74" w:rsidRDefault="006D3752" w:rsidP="00FB6783">
      <w:pPr>
        <w:pStyle w:val="af1"/>
        <w:numPr>
          <w:ilvl w:val="1"/>
          <w:numId w:val="17"/>
        </w:numPr>
        <w:spacing w:after="120" w:line="254" w:lineRule="auto"/>
        <w:ind w:hanging="562"/>
        <w:rPr>
          <w:rFonts w:ascii="Calibri" w:hAnsi="Calibri"/>
          <w:sz w:val="22"/>
          <w:szCs w:val="22"/>
          <w:lang w:val="en-US"/>
        </w:rPr>
      </w:pPr>
      <w:r w:rsidRPr="00C42A74">
        <w:rPr>
          <w:rFonts w:ascii="Calibri" w:hAnsi="Calibri"/>
          <w:sz w:val="22"/>
          <w:szCs w:val="22"/>
          <w:lang w:val="en-US"/>
        </w:rPr>
        <w:t xml:space="preserve">The MSc leads to the award of a Diploma of Postgraduate Studies (MSc) with the title: </w:t>
      </w:r>
      <w:r w:rsidR="00AE52DD" w:rsidRPr="00C42A74">
        <w:rPr>
          <w:rFonts w:ascii="Calibri" w:hAnsi="Calibri"/>
          <w:b/>
          <w:bCs/>
          <w:i/>
          <w:sz w:val="22"/>
          <w:szCs w:val="22"/>
          <w:lang w:val="en-US"/>
        </w:rPr>
        <w:t>Government Digital Innovation and Transformation</w:t>
      </w:r>
      <w:r w:rsidRPr="00C42A74">
        <w:rPr>
          <w:rFonts w:ascii="Calibri" w:hAnsi="Calibri"/>
          <w:sz w:val="22"/>
          <w:szCs w:val="22"/>
          <w:lang w:val="en-US"/>
        </w:rPr>
        <w:t>, upon full and successful completion of the studies based on the curriculum.</w:t>
      </w:r>
    </w:p>
    <w:p w14:paraId="7F039EEB" w14:textId="561D9A61" w:rsidR="006D3752" w:rsidRPr="00C42A74" w:rsidRDefault="006D3752" w:rsidP="00FB6783">
      <w:pPr>
        <w:pStyle w:val="af1"/>
        <w:numPr>
          <w:ilvl w:val="1"/>
          <w:numId w:val="17"/>
        </w:numPr>
        <w:spacing w:after="120" w:line="254" w:lineRule="auto"/>
        <w:ind w:hanging="562"/>
        <w:rPr>
          <w:rFonts w:ascii="Calibri" w:hAnsi="Calibri"/>
          <w:sz w:val="22"/>
          <w:szCs w:val="22"/>
          <w:lang w:val="en-US"/>
        </w:rPr>
      </w:pPr>
      <w:r w:rsidRPr="00C42A74">
        <w:rPr>
          <w:rFonts w:ascii="Calibri" w:hAnsi="Calibri"/>
          <w:sz w:val="22"/>
          <w:szCs w:val="22"/>
          <w:lang w:val="en-US"/>
        </w:rPr>
        <w:t>The titles are awarded by the Department of Business Administration of the Un</w:t>
      </w:r>
      <w:r w:rsidR="00AE52DD" w:rsidRPr="00C42A74">
        <w:rPr>
          <w:rFonts w:ascii="Calibri" w:hAnsi="Calibri"/>
          <w:sz w:val="22"/>
          <w:szCs w:val="22"/>
          <w:lang w:val="en-US"/>
        </w:rPr>
        <w:t>iversity of Thessaly.</w:t>
      </w:r>
    </w:p>
    <w:p w14:paraId="1DDB0AD7" w14:textId="0891B5A0" w:rsidR="006D3752" w:rsidRPr="00C42A74" w:rsidRDefault="006D3752" w:rsidP="00FB6783">
      <w:pPr>
        <w:pStyle w:val="af1"/>
        <w:numPr>
          <w:ilvl w:val="1"/>
          <w:numId w:val="17"/>
        </w:numPr>
        <w:spacing w:after="120" w:line="254" w:lineRule="auto"/>
        <w:ind w:hanging="562"/>
        <w:rPr>
          <w:rFonts w:ascii="Calibri" w:hAnsi="Calibri"/>
          <w:sz w:val="22"/>
          <w:szCs w:val="22"/>
          <w:lang w:val="en-US"/>
        </w:rPr>
      </w:pPr>
      <w:r w:rsidRPr="00C42A74">
        <w:rPr>
          <w:rFonts w:ascii="Calibri" w:hAnsi="Calibri"/>
          <w:sz w:val="22"/>
          <w:szCs w:val="22"/>
          <w:lang w:val="en-US"/>
        </w:rPr>
        <w:t>Learning outcomes, qualifications awarded by the s</w:t>
      </w:r>
      <w:r w:rsidR="00AC4BFE">
        <w:rPr>
          <w:rFonts w:ascii="Calibri" w:hAnsi="Calibri"/>
          <w:sz w:val="22"/>
          <w:szCs w:val="22"/>
          <w:lang w:val="en-US"/>
        </w:rPr>
        <w:t>uccessful completion of the MSc.</w:t>
      </w:r>
    </w:p>
    <w:p w14:paraId="773B90CD" w14:textId="77777777" w:rsidR="006D3752" w:rsidRPr="00C42A74" w:rsidRDefault="006D3752" w:rsidP="006D3752">
      <w:pPr>
        <w:rPr>
          <w:rFonts w:ascii="Calibri" w:hAnsi="Calibri"/>
          <w:b/>
          <w:bCs/>
          <w:lang w:val="en-US"/>
        </w:rPr>
      </w:pPr>
      <w:r w:rsidRPr="00C42A74">
        <w:rPr>
          <w:b/>
          <w:bCs/>
          <w:lang w:val="en-US"/>
        </w:rPr>
        <w:t>Learning Objectives</w:t>
      </w:r>
    </w:p>
    <w:p w14:paraId="432EF93D" w14:textId="77777777" w:rsidR="006D3752" w:rsidRPr="00C42A74" w:rsidRDefault="006D3752" w:rsidP="006D3752">
      <w:pPr>
        <w:rPr>
          <w:lang w:val="en-US"/>
        </w:rPr>
      </w:pPr>
      <w:r w:rsidRPr="00C42A74">
        <w:rPr>
          <w:lang w:val="en-US"/>
        </w:rPr>
        <w:t>The objectives of the MSc are the following.</w:t>
      </w:r>
    </w:p>
    <w:p w14:paraId="4344D71D" w14:textId="77777777" w:rsidR="00C42A74" w:rsidRPr="00C42A74" w:rsidRDefault="00C42A74" w:rsidP="00C42A74">
      <w:pPr>
        <w:numPr>
          <w:ilvl w:val="0"/>
          <w:numId w:val="34"/>
        </w:numPr>
        <w:rPr>
          <w:lang w:val="en-US"/>
        </w:rPr>
      </w:pPr>
      <w:r w:rsidRPr="00C42A74">
        <w:rPr>
          <w:b/>
          <w:bCs/>
          <w:lang w:val="en-US"/>
        </w:rPr>
        <w:t>Understanding the Principles of Digital Governance, Digital Innovation, and Digital Transformation</w:t>
      </w:r>
      <w:r w:rsidRPr="00C42A74">
        <w:rPr>
          <w:lang w:val="en-US"/>
        </w:rPr>
        <w:t>: Students will gain a comprehensive understanding of the concepts, technologies, and methodologies supporting digital governance, including service modeling, open data, machine learning, fostering innovative thinking, decision-making, and big data analysis.</w:t>
      </w:r>
    </w:p>
    <w:p w14:paraId="42FD4761" w14:textId="77777777" w:rsidR="00C42A74" w:rsidRPr="00C42A74" w:rsidRDefault="00C42A74" w:rsidP="00C42A74">
      <w:pPr>
        <w:numPr>
          <w:ilvl w:val="0"/>
          <w:numId w:val="34"/>
        </w:numPr>
        <w:rPr>
          <w:lang w:val="en-US"/>
        </w:rPr>
      </w:pPr>
      <w:r w:rsidRPr="00C42A74">
        <w:rPr>
          <w:b/>
          <w:bCs/>
          <w:lang w:val="en-US"/>
        </w:rPr>
        <w:t>Development of Research and Analytical Skills</w:t>
      </w:r>
      <w:r w:rsidRPr="00C42A74">
        <w:rPr>
          <w:lang w:val="en-US"/>
        </w:rPr>
        <w:t>: Students will acquire skills in research methodologies and the ability to analyze and interpret data for digital governance.</w:t>
      </w:r>
    </w:p>
    <w:p w14:paraId="09A837E6" w14:textId="77777777" w:rsidR="00C42A74" w:rsidRPr="00C42A74" w:rsidRDefault="00C42A74" w:rsidP="00C42A74">
      <w:pPr>
        <w:numPr>
          <w:ilvl w:val="0"/>
          <w:numId w:val="34"/>
        </w:numPr>
        <w:rPr>
          <w:lang w:val="en-US"/>
        </w:rPr>
      </w:pPr>
      <w:r w:rsidRPr="00C42A74">
        <w:rPr>
          <w:b/>
          <w:bCs/>
          <w:lang w:val="en-US"/>
        </w:rPr>
        <w:t>Enhancement of Technical Knowledge</w:t>
      </w:r>
      <w:r w:rsidRPr="00C42A74">
        <w:rPr>
          <w:lang w:val="en-US"/>
        </w:rPr>
        <w:t>: Students will understand the technical aspects of digital governance and digital innovation, including openness, data analysis, service modeling, and intelligent systems.</w:t>
      </w:r>
    </w:p>
    <w:p w14:paraId="15751600" w14:textId="77777777" w:rsidR="00C42A74" w:rsidRPr="00C42A74" w:rsidRDefault="00C42A74" w:rsidP="00C42A74">
      <w:pPr>
        <w:numPr>
          <w:ilvl w:val="0"/>
          <w:numId w:val="34"/>
        </w:numPr>
        <w:rPr>
          <w:lang w:val="en-US"/>
        </w:rPr>
      </w:pPr>
      <w:r w:rsidRPr="00C42A74">
        <w:rPr>
          <w:b/>
          <w:bCs/>
          <w:lang w:val="en-US"/>
        </w:rPr>
        <w:t>Understanding Citizen Engagement</w:t>
      </w:r>
      <w:r w:rsidRPr="00C42A74">
        <w:rPr>
          <w:lang w:val="en-US"/>
        </w:rPr>
        <w:t>: Students will understand the frameworks and policies for citizen engagement, openness, transparency, and accountability.</w:t>
      </w:r>
    </w:p>
    <w:p w14:paraId="47D9AE41" w14:textId="77777777" w:rsidR="00C42A74" w:rsidRPr="00C42A74" w:rsidRDefault="00C42A74" w:rsidP="00C42A74">
      <w:pPr>
        <w:numPr>
          <w:ilvl w:val="0"/>
          <w:numId w:val="34"/>
        </w:numPr>
        <w:rPr>
          <w:lang w:val="en-US"/>
        </w:rPr>
      </w:pPr>
      <w:r w:rsidRPr="00C42A74">
        <w:rPr>
          <w:b/>
          <w:bCs/>
          <w:lang w:val="en-US"/>
        </w:rPr>
        <w:t>Promotion of Innovation in the Public Sector</w:t>
      </w:r>
      <w:r w:rsidRPr="00C42A74">
        <w:rPr>
          <w:lang w:val="en-US"/>
        </w:rPr>
        <w:t>: Students will understand strategies for fostering an innovative mindset and the concepts of digital and social innovation within the public sector.</w:t>
      </w:r>
    </w:p>
    <w:p w14:paraId="04FECC8F" w14:textId="77777777" w:rsidR="00C42A74" w:rsidRPr="00E81009" w:rsidRDefault="00C42A74" w:rsidP="00C42A74">
      <w:pPr>
        <w:numPr>
          <w:ilvl w:val="0"/>
          <w:numId w:val="34"/>
        </w:numPr>
        <w:rPr>
          <w:lang w:val="en-US"/>
        </w:rPr>
      </w:pPr>
      <w:r w:rsidRPr="00C42A74">
        <w:rPr>
          <w:b/>
          <w:bCs/>
          <w:lang w:val="en-US"/>
        </w:rPr>
        <w:t>Sustainable Project Management</w:t>
      </w:r>
      <w:r w:rsidRPr="00C42A74">
        <w:rPr>
          <w:lang w:val="en-US"/>
        </w:rPr>
        <w:t xml:space="preserve">: Students will gain expertise in defining and designing projects that ensure their sustainability, particularly in the context of innovation and digital </w:t>
      </w:r>
      <w:r w:rsidRPr="00E81009">
        <w:rPr>
          <w:lang w:val="en-US"/>
        </w:rPr>
        <w:t>innovation.</w:t>
      </w:r>
    </w:p>
    <w:p w14:paraId="72039AAF" w14:textId="77777777" w:rsidR="006D3752" w:rsidRPr="00E81009" w:rsidRDefault="006D3752" w:rsidP="006D3752">
      <w:pPr>
        <w:rPr>
          <w:b/>
          <w:bCs/>
        </w:rPr>
      </w:pPr>
      <w:r w:rsidRPr="00E81009">
        <w:rPr>
          <w:b/>
          <w:bCs/>
        </w:rPr>
        <w:t>Learning Outcomes</w:t>
      </w:r>
    </w:p>
    <w:p w14:paraId="4B3DC685" w14:textId="77777777" w:rsidR="001278A1" w:rsidRPr="00E81009" w:rsidRDefault="001278A1" w:rsidP="001278A1">
      <w:pPr>
        <w:numPr>
          <w:ilvl w:val="0"/>
          <w:numId w:val="35"/>
        </w:numPr>
        <w:rPr>
          <w:lang w:val="en-US"/>
        </w:rPr>
      </w:pPr>
      <w:r w:rsidRPr="00E81009">
        <w:rPr>
          <w:b/>
          <w:bCs/>
          <w:lang w:val="en-US"/>
        </w:rPr>
        <w:t>Digital Governance</w:t>
      </w:r>
      <w:r w:rsidRPr="00E81009">
        <w:rPr>
          <w:lang w:val="en-US"/>
        </w:rPr>
        <w:t>: Students will have the ability to develop creative thinking, define concepts, describe interoperability issues, and define intelligent governance.</w:t>
      </w:r>
    </w:p>
    <w:p w14:paraId="1BF5B4CF" w14:textId="77777777" w:rsidR="001278A1" w:rsidRPr="00E81009" w:rsidRDefault="001278A1" w:rsidP="001278A1">
      <w:pPr>
        <w:numPr>
          <w:ilvl w:val="0"/>
          <w:numId w:val="35"/>
        </w:numPr>
        <w:rPr>
          <w:lang w:val="en-US"/>
        </w:rPr>
      </w:pPr>
      <w:r w:rsidRPr="00E81009">
        <w:rPr>
          <w:b/>
          <w:bCs/>
          <w:lang w:val="en-US"/>
        </w:rPr>
        <w:t>Information Systems in Public Administration</w:t>
      </w:r>
      <w:r w:rsidRPr="00E81009">
        <w:rPr>
          <w:lang w:val="en-US"/>
        </w:rPr>
        <w:t>: Students will be proficient in the use of information technology in public administration and the basic principles of information systems design.</w:t>
      </w:r>
    </w:p>
    <w:p w14:paraId="3C263088" w14:textId="77777777" w:rsidR="001278A1" w:rsidRPr="00E81009" w:rsidRDefault="001278A1" w:rsidP="001278A1">
      <w:pPr>
        <w:numPr>
          <w:ilvl w:val="0"/>
          <w:numId w:val="35"/>
        </w:numPr>
        <w:rPr>
          <w:lang w:val="en-US"/>
        </w:rPr>
      </w:pPr>
      <w:r w:rsidRPr="00E81009">
        <w:rPr>
          <w:b/>
          <w:bCs/>
          <w:lang w:val="en-US"/>
        </w:rPr>
        <w:t>Data-Centric Governance</w:t>
      </w:r>
      <w:r w:rsidRPr="00E81009">
        <w:rPr>
          <w:lang w:val="en-US"/>
        </w:rPr>
        <w:t>: Students will be able to apply data analysis techniques to solve problems and use data analysis tools, combining programming languages (e.g., R and Python) with statistics.</w:t>
      </w:r>
    </w:p>
    <w:p w14:paraId="2020A840" w14:textId="77777777" w:rsidR="001278A1" w:rsidRPr="00E81009" w:rsidRDefault="001278A1" w:rsidP="001278A1">
      <w:pPr>
        <w:numPr>
          <w:ilvl w:val="0"/>
          <w:numId w:val="35"/>
        </w:numPr>
        <w:rPr>
          <w:lang w:val="en-US"/>
        </w:rPr>
      </w:pPr>
      <w:r w:rsidRPr="00E81009">
        <w:rPr>
          <w:b/>
          <w:bCs/>
          <w:lang w:val="en-US"/>
        </w:rPr>
        <w:t>Innovation and Strategy in Public Administration</w:t>
      </w:r>
      <w:r w:rsidRPr="00E81009">
        <w:rPr>
          <w:lang w:val="en-US"/>
        </w:rPr>
        <w:t>: Students will be able to develop strategies for effective policy-making and governance, harmonize innovation with strategy, and describe the sources that foster or hinder innovation.</w:t>
      </w:r>
    </w:p>
    <w:p w14:paraId="1FE366BC" w14:textId="77777777" w:rsidR="001278A1" w:rsidRPr="00E81009" w:rsidRDefault="001278A1" w:rsidP="001278A1">
      <w:pPr>
        <w:numPr>
          <w:ilvl w:val="0"/>
          <w:numId w:val="35"/>
        </w:numPr>
        <w:rPr>
          <w:lang w:val="en-US"/>
        </w:rPr>
      </w:pPr>
      <w:r w:rsidRPr="00E81009">
        <w:rPr>
          <w:b/>
          <w:bCs/>
          <w:lang w:val="en-US"/>
        </w:rPr>
        <w:lastRenderedPageBreak/>
        <w:t>Data Analysis</w:t>
      </w:r>
      <w:r w:rsidRPr="00E81009">
        <w:rPr>
          <w:lang w:val="en-US"/>
        </w:rPr>
        <w:t>: Students will be able to understand and analyze data, particularly in the field of governance, using a combination of data analysis tools.</w:t>
      </w:r>
    </w:p>
    <w:p w14:paraId="71E8F8B6" w14:textId="77777777" w:rsidR="001278A1" w:rsidRPr="00E81009" w:rsidRDefault="001278A1" w:rsidP="001278A1">
      <w:pPr>
        <w:numPr>
          <w:ilvl w:val="0"/>
          <w:numId w:val="35"/>
        </w:numPr>
        <w:rPr>
          <w:lang w:val="en-US"/>
        </w:rPr>
      </w:pPr>
      <w:r w:rsidRPr="00E81009">
        <w:rPr>
          <w:b/>
          <w:bCs/>
          <w:lang w:val="en-US"/>
        </w:rPr>
        <w:t>Sustainable Project Management in Public Administration</w:t>
      </w:r>
      <w:r w:rsidRPr="00E81009">
        <w:rPr>
          <w:lang w:val="en-US"/>
        </w:rPr>
        <w:t>: Students will be able to define project management concepts, apply project management techniques and standards, manage changes and conflicts, and apply leadership styles in project management.</w:t>
      </w:r>
    </w:p>
    <w:p w14:paraId="119A43B9" w14:textId="77777777" w:rsidR="001278A1" w:rsidRPr="00E81009" w:rsidRDefault="001278A1" w:rsidP="001278A1">
      <w:pPr>
        <w:numPr>
          <w:ilvl w:val="0"/>
          <w:numId w:val="35"/>
        </w:numPr>
        <w:rPr>
          <w:lang w:val="en-US"/>
        </w:rPr>
      </w:pPr>
      <w:r w:rsidRPr="00E81009">
        <w:rPr>
          <w:b/>
          <w:bCs/>
          <w:lang w:val="en-US"/>
        </w:rPr>
        <w:t>Citizen Engagement and New Media</w:t>
      </w:r>
      <w:r w:rsidRPr="00E81009">
        <w:rPr>
          <w:lang w:val="en-US"/>
        </w:rPr>
        <w:t>: Students will learn how to apply the knowledge of digital twins in designing and managing citizen engagement methods and using new media, as well as managing new media with appropriate citizen protection policies.</w:t>
      </w:r>
    </w:p>
    <w:p w14:paraId="6624CF5F" w14:textId="77777777" w:rsidR="001278A1" w:rsidRPr="00E81009" w:rsidRDefault="001278A1" w:rsidP="001278A1">
      <w:pPr>
        <w:numPr>
          <w:ilvl w:val="0"/>
          <w:numId w:val="35"/>
        </w:numPr>
        <w:rPr>
          <w:lang w:val="en-US"/>
        </w:rPr>
      </w:pPr>
      <w:r w:rsidRPr="00E81009">
        <w:rPr>
          <w:b/>
          <w:bCs/>
          <w:lang w:val="en-US"/>
        </w:rPr>
        <w:t>Research Methodology Application</w:t>
      </w:r>
      <w:r w:rsidRPr="00E81009">
        <w:rPr>
          <w:lang w:val="en-US"/>
        </w:rPr>
        <w:t>: Students will be able to apply appropriate research methodologies to analyze and solve complex problems in digital innovation and governance.</w:t>
      </w:r>
    </w:p>
    <w:p w14:paraId="25D11466" w14:textId="77777777" w:rsidR="006D3752" w:rsidRDefault="006D3752" w:rsidP="006D3752">
      <w:pPr>
        <w:rPr>
          <w:lang w:val="en-US"/>
        </w:rPr>
      </w:pPr>
      <w:r w:rsidRPr="00E81009">
        <w:rPr>
          <w:lang w:val="en-US"/>
        </w:rPr>
        <w:t>The above learning objectives and outcomes are designed to provide a comprehensive and multifaceted understanding of the aspects of smart and sustainable urban development, preparing students for the various challenges and opportunities in this field.</w:t>
      </w:r>
    </w:p>
    <w:p w14:paraId="6108501D" w14:textId="77777777" w:rsidR="006D3752" w:rsidRDefault="006D3752" w:rsidP="006D3752">
      <w:pPr>
        <w:spacing w:after="120"/>
        <w:rPr>
          <w:lang w:val="en-US"/>
        </w:rPr>
      </w:pPr>
    </w:p>
    <w:p w14:paraId="16F6582E" w14:textId="41108931" w:rsidR="006D3752" w:rsidRDefault="006D3752" w:rsidP="006D3752">
      <w:pPr>
        <w:pStyle w:val="2"/>
        <w:spacing w:before="0" w:after="120" w:line="254" w:lineRule="auto"/>
        <w:rPr>
          <w:sz w:val="26"/>
          <w:lang w:val="en-US"/>
        </w:rPr>
      </w:pPr>
      <w:bookmarkStart w:id="5" w:name="_Toc197974930"/>
      <w:bookmarkStart w:id="6" w:name="_Toc197974971"/>
      <w:r w:rsidRPr="006D3752">
        <w:rPr>
          <w:rStyle w:val="normalchar1"/>
          <w:sz w:val="26"/>
          <w:lang w:val="en-US"/>
        </w:rPr>
        <w:t xml:space="preserve">Article 2. STRUCTURE AND ORGANS OF THE </w:t>
      </w:r>
      <w:r w:rsidR="000F7678">
        <w:rPr>
          <w:rStyle w:val="normalchar1"/>
          <w:sz w:val="26"/>
          <w:lang w:val="en-US"/>
        </w:rPr>
        <w:t>PSP</w:t>
      </w:r>
      <w:bookmarkEnd w:id="5"/>
      <w:bookmarkEnd w:id="6"/>
      <w:r w:rsidRPr="006D3752">
        <w:rPr>
          <w:rStyle w:val="normalchar1"/>
          <w:sz w:val="26"/>
          <w:lang w:val="en-US"/>
        </w:rPr>
        <w:t xml:space="preserve"> </w:t>
      </w:r>
    </w:p>
    <w:p w14:paraId="03A1A8EB" w14:textId="46EC9D61" w:rsidR="006D3752" w:rsidRDefault="006D3752" w:rsidP="006D3752">
      <w:pPr>
        <w:spacing w:after="120"/>
        <w:rPr>
          <w:lang w:val="en-US"/>
        </w:rPr>
      </w:pPr>
      <w:r>
        <w:rPr>
          <w:lang w:val="en-US"/>
        </w:rPr>
        <w:t xml:space="preserve">Competent bodies for the operation of the </w:t>
      </w:r>
      <w:r w:rsidR="002C65FB">
        <w:rPr>
          <w:lang w:val="en-US"/>
        </w:rPr>
        <w:t>Postgraduate Study Program (PSP)</w:t>
      </w:r>
      <w:r w:rsidR="00632416">
        <w:rPr>
          <w:lang w:val="en-US"/>
        </w:rPr>
        <w:t xml:space="preserve"> </w:t>
      </w:r>
      <w:r>
        <w:rPr>
          <w:lang w:val="en-US"/>
        </w:rPr>
        <w:t>4957/2022 are:</w:t>
      </w:r>
    </w:p>
    <w:p w14:paraId="21B6B27B" w14:textId="5C956B5C" w:rsidR="006D3752" w:rsidRDefault="006D3752" w:rsidP="006D3752">
      <w:pPr>
        <w:spacing w:after="120"/>
        <w:rPr>
          <w:lang w:val="en-US"/>
        </w:rPr>
      </w:pPr>
      <w:r>
        <w:rPr>
          <w:b/>
          <w:lang w:val="en-US"/>
        </w:rPr>
        <w:t>2.1</w:t>
      </w:r>
      <w:r>
        <w:rPr>
          <w:lang w:val="en-US"/>
        </w:rPr>
        <w:t>.</w:t>
      </w:r>
      <w:r w:rsidR="00F23B20">
        <w:rPr>
          <w:lang w:val="en-US"/>
        </w:rPr>
        <w:t xml:space="preserve"> </w:t>
      </w:r>
      <w:r>
        <w:rPr>
          <w:lang w:val="en-US"/>
        </w:rPr>
        <w:t xml:space="preserve">The </w:t>
      </w:r>
      <w:r w:rsidR="00F23B20" w:rsidRPr="00AE52DD">
        <w:rPr>
          <w:lang w:val="en-US"/>
        </w:rPr>
        <w:t>Steering Committee</w:t>
      </w:r>
      <w:r w:rsidRPr="00AE52DD">
        <w:rPr>
          <w:lang w:val="en-US"/>
        </w:rPr>
        <w:t xml:space="preserve"> </w:t>
      </w:r>
      <w:r w:rsidR="00F23B20" w:rsidRPr="00AE52DD">
        <w:rPr>
          <w:lang w:val="en-US"/>
        </w:rPr>
        <w:t>(SC)</w:t>
      </w:r>
      <w:r w:rsidRPr="00AE52DD">
        <w:rPr>
          <w:lang w:val="en-US"/>
        </w:rPr>
        <w:t>.  The responsibilities</w:t>
      </w:r>
      <w:r>
        <w:rPr>
          <w:lang w:val="en-US"/>
        </w:rPr>
        <w:t xml:space="preserve"> of the Curriculum Committee are to:</w:t>
      </w:r>
    </w:p>
    <w:p w14:paraId="78E9EF86" w14:textId="77777777" w:rsidR="006D3752" w:rsidRDefault="006D3752" w:rsidP="006D3752">
      <w:pPr>
        <w:spacing w:after="120"/>
        <w:rPr>
          <w:lang w:val="en-US"/>
        </w:rPr>
      </w:pPr>
      <w:r>
        <w:rPr>
          <w:lang w:val="en-US"/>
        </w:rPr>
        <w:t>a) recommends to the Senate through the Postgraduate Studies Committee the necessity of modifying the Master's programme and the extension of its duration,</w:t>
      </w:r>
    </w:p>
    <w:p w14:paraId="4196D586" w14:textId="77777777" w:rsidR="006D3752" w:rsidRDefault="006D3752" w:rsidP="006D3752">
      <w:pPr>
        <w:spacing w:after="120"/>
        <w:rPr>
          <w:lang w:val="en-US"/>
        </w:rPr>
      </w:pPr>
      <w:r>
        <w:rPr>
          <w:lang w:val="en-US"/>
        </w:rPr>
        <w:t>b) establish Committees for the evaluation of applications from prospective postgraduate students and approve their enrolment in the programme,</w:t>
      </w:r>
    </w:p>
    <w:p w14:paraId="528A5A9B" w14:textId="6D58ED3B" w:rsidR="006D3752" w:rsidRDefault="006D3752" w:rsidP="006D3752">
      <w:pPr>
        <w:spacing w:after="120"/>
        <w:rPr>
          <w:lang w:val="en-US"/>
        </w:rPr>
      </w:pPr>
      <w:r>
        <w:rPr>
          <w:lang w:val="en-US"/>
        </w:rPr>
        <w:t xml:space="preserve">c) assigns the teaching work to the lecturers of the </w:t>
      </w:r>
      <w:r w:rsidR="00F23B20" w:rsidRPr="00F23B20">
        <w:rPr>
          <w:lang w:val="en-US"/>
        </w:rPr>
        <w:t xml:space="preserve">PSP </w:t>
      </w:r>
    </w:p>
    <w:p w14:paraId="20C2DFDA" w14:textId="77777777" w:rsidR="006D3752" w:rsidRDefault="006D3752" w:rsidP="006D3752">
      <w:pPr>
        <w:spacing w:after="120"/>
        <w:rPr>
          <w:lang w:val="en-US"/>
        </w:rPr>
      </w:pPr>
      <w:r>
        <w:rPr>
          <w:lang w:val="en-US"/>
        </w:rPr>
        <w:t>d) appoints the Director of the MSc.</w:t>
      </w:r>
    </w:p>
    <w:p w14:paraId="6F12651D" w14:textId="77777777" w:rsidR="006D3752" w:rsidRDefault="006D3752" w:rsidP="006D3752">
      <w:pPr>
        <w:spacing w:after="120"/>
        <w:rPr>
          <w:lang w:val="en-US"/>
        </w:rPr>
      </w:pPr>
      <w:r>
        <w:rPr>
          <w:lang w:val="en-US"/>
        </w:rPr>
        <w:t>(e) appoint the members of the SCs</w:t>
      </w:r>
    </w:p>
    <w:p w14:paraId="2FBE0F35" w14:textId="77777777" w:rsidR="006D3752" w:rsidRDefault="006D3752" w:rsidP="006D3752">
      <w:pPr>
        <w:spacing w:after="120"/>
        <w:rPr>
          <w:lang w:val="en-US"/>
        </w:rPr>
      </w:pPr>
      <w:r>
        <w:rPr>
          <w:lang w:val="en-US"/>
        </w:rPr>
        <w:t>g) establishes examination committees for the examination of the theses of postgraduate students and appoints the supervisor for each thesis,</w:t>
      </w:r>
    </w:p>
    <w:p w14:paraId="295A3FE5" w14:textId="77777777" w:rsidR="006D3752" w:rsidRDefault="006D3752" w:rsidP="006D3752">
      <w:pPr>
        <w:spacing w:after="120"/>
        <w:rPr>
          <w:lang w:val="en-US"/>
        </w:rPr>
      </w:pPr>
      <w:r>
        <w:rPr>
          <w:lang w:val="en-US"/>
        </w:rPr>
        <w:t>h) certifies the successful completion of the course of study in order to award the degree of the Master of Science degree,</w:t>
      </w:r>
    </w:p>
    <w:p w14:paraId="0651ED4A" w14:textId="0C2BC21B" w:rsidR="006D3752" w:rsidRDefault="006D3752" w:rsidP="006D3752">
      <w:pPr>
        <w:spacing w:after="120"/>
        <w:rPr>
          <w:lang w:val="en-US"/>
        </w:rPr>
      </w:pPr>
      <w:r>
        <w:rPr>
          <w:lang w:val="en-US"/>
        </w:rPr>
        <w:t>i) approve the report of the</w:t>
      </w:r>
      <w:r w:rsidR="00F23B20">
        <w:rPr>
          <w:lang w:val="en-US"/>
        </w:rPr>
        <w:t xml:space="preserve"> PSP</w:t>
      </w:r>
      <w:r>
        <w:rPr>
          <w:lang w:val="en-US"/>
        </w:rPr>
        <w:t>.</w:t>
      </w:r>
    </w:p>
    <w:p w14:paraId="1008F319" w14:textId="77777777" w:rsidR="006D3752" w:rsidRDefault="006D3752" w:rsidP="006D3752">
      <w:pPr>
        <w:spacing w:after="120"/>
        <w:rPr>
          <w:lang w:val="en-US"/>
        </w:rPr>
      </w:pPr>
      <w:r>
        <w:rPr>
          <w:lang w:val="en-US"/>
        </w:rPr>
        <w:t>(j) exercise any other powers provided for by individual provisions.</w:t>
      </w:r>
    </w:p>
    <w:p w14:paraId="4262B6EF" w14:textId="2A914DD2" w:rsidR="006D3752" w:rsidRPr="00632416" w:rsidRDefault="009B26FB" w:rsidP="006D3752">
      <w:pPr>
        <w:spacing w:after="120"/>
        <w:rPr>
          <w:lang w:val="en-US"/>
        </w:rPr>
      </w:pPr>
      <w:r w:rsidRPr="00632416">
        <w:rPr>
          <w:lang w:val="en-US"/>
        </w:rPr>
        <w:t>The PSP</w:t>
      </w:r>
      <w:r w:rsidR="006D3752" w:rsidRPr="00632416">
        <w:rPr>
          <w:lang w:val="en-US"/>
        </w:rPr>
        <w:t xml:space="preserve"> is constituted by decision of the Senate of the University of Thessaly, following the recommendation of the Assemblies of the collaborating Departments, and consists of faculty members. </w:t>
      </w:r>
    </w:p>
    <w:p w14:paraId="04F8E389" w14:textId="495DFB93" w:rsidR="006D3752" w:rsidRDefault="006D3752" w:rsidP="009B26FB">
      <w:pPr>
        <w:spacing w:after="120"/>
        <w:rPr>
          <w:rFonts w:ascii="Calibri" w:eastAsia="Calibri" w:hAnsi="Calibri" w:cs="Times New Roman"/>
          <w:lang w:val="en-US"/>
        </w:rPr>
      </w:pPr>
      <w:r>
        <w:rPr>
          <w:lang w:val="en-US"/>
        </w:rPr>
        <w:t xml:space="preserve">Emeritus Professors of the collaborating departments may participate in the R.P.S., if they provide teaching work in the </w:t>
      </w:r>
      <w:r w:rsidR="00F23B20">
        <w:rPr>
          <w:lang w:val="en-US"/>
        </w:rPr>
        <w:t>PSP.</w:t>
      </w:r>
    </w:p>
    <w:p w14:paraId="5B3DA834" w14:textId="23444C2D" w:rsidR="006D3752" w:rsidRDefault="006D3752" w:rsidP="006D3752">
      <w:pPr>
        <w:spacing w:after="120"/>
        <w:rPr>
          <w:lang w:val="en-US"/>
        </w:rPr>
      </w:pPr>
      <w:r>
        <w:rPr>
          <w:b/>
          <w:lang w:val="en-US"/>
        </w:rPr>
        <w:t xml:space="preserve">2.3. </w:t>
      </w:r>
      <w:r>
        <w:rPr>
          <w:lang w:val="en-US"/>
        </w:rPr>
        <w:t xml:space="preserve">The Director of the </w:t>
      </w:r>
      <w:r w:rsidR="00F23B20">
        <w:rPr>
          <w:lang w:val="en-US"/>
        </w:rPr>
        <w:t>PSP</w:t>
      </w:r>
      <w:r>
        <w:rPr>
          <w:lang w:val="en-US"/>
        </w:rPr>
        <w:t>.</w:t>
      </w:r>
    </w:p>
    <w:p w14:paraId="676ABDE3" w14:textId="4B2C4FB1" w:rsidR="006D3752" w:rsidRDefault="006D3752" w:rsidP="006D3752">
      <w:pPr>
        <w:spacing w:after="120"/>
        <w:rPr>
          <w:lang w:val="en-US"/>
        </w:rPr>
      </w:pPr>
      <w:r>
        <w:rPr>
          <w:lang w:val="en-US"/>
        </w:rPr>
        <w:t xml:space="preserve">The Director of the </w:t>
      </w:r>
      <w:r w:rsidR="00F23B20">
        <w:rPr>
          <w:lang w:val="en-US"/>
        </w:rPr>
        <w:t>PSP</w:t>
      </w:r>
      <w:r>
        <w:rPr>
          <w:lang w:val="en-US"/>
        </w:rPr>
        <w:t xml:space="preserve"> is a member of the </w:t>
      </w:r>
      <w:r w:rsidR="00847A1C">
        <w:rPr>
          <w:lang w:val="en-US"/>
        </w:rPr>
        <w:t>SC</w:t>
      </w:r>
      <w:r>
        <w:rPr>
          <w:lang w:val="en-US"/>
        </w:rPr>
        <w:t xml:space="preserve">. with priority of the rank of Professor or Associate Professor and is appointed by the </w:t>
      </w:r>
      <w:r w:rsidR="00847A1C">
        <w:rPr>
          <w:lang w:val="en-US"/>
        </w:rPr>
        <w:t>SC</w:t>
      </w:r>
      <w:r>
        <w:rPr>
          <w:lang w:val="en-US"/>
        </w:rPr>
        <w:t xml:space="preserve">. for a two-year term of office, renewable without limitation.  </w:t>
      </w:r>
    </w:p>
    <w:p w14:paraId="050395FE" w14:textId="1E84A6C2" w:rsidR="006D3752" w:rsidRDefault="006D3752" w:rsidP="006D3752">
      <w:pPr>
        <w:spacing w:after="120"/>
        <w:ind w:left="360"/>
        <w:rPr>
          <w:lang w:val="en-US"/>
        </w:rPr>
      </w:pPr>
      <w:r>
        <w:rPr>
          <w:lang w:val="en-US"/>
        </w:rPr>
        <w:t xml:space="preserve">The Director of the </w:t>
      </w:r>
      <w:r w:rsidR="00F23B20">
        <w:rPr>
          <w:lang w:val="en-US"/>
        </w:rPr>
        <w:t>PSP</w:t>
      </w:r>
      <w:r>
        <w:rPr>
          <w:lang w:val="en-US"/>
        </w:rPr>
        <w:t xml:space="preserve"> has the following responsibilities:</w:t>
      </w:r>
    </w:p>
    <w:p w14:paraId="759DF3A8" w14:textId="77777777" w:rsidR="006D3752" w:rsidRDefault="006D3752" w:rsidP="006D3752">
      <w:pPr>
        <w:spacing w:after="120"/>
        <w:ind w:left="360"/>
        <w:rPr>
          <w:lang w:val="en-US"/>
        </w:rPr>
      </w:pPr>
      <w:r>
        <w:rPr>
          <w:lang w:val="en-US"/>
        </w:rPr>
        <w:t>a) chair the Curriculum Committee, draw up the agenda and convene its meetings,</w:t>
      </w:r>
    </w:p>
    <w:p w14:paraId="479971B0" w14:textId="2596CAFE" w:rsidR="006D3752" w:rsidRDefault="006D3752" w:rsidP="006D3752">
      <w:pPr>
        <w:spacing w:after="120"/>
        <w:ind w:left="360"/>
        <w:rPr>
          <w:lang w:val="en-US"/>
        </w:rPr>
      </w:pPr>
      <w:r>
        <w:rPr>
          <w:lang w:val="en-US"/>
        </w:rPr>
        <w:lastRenderedPageBreak/>
        <w:t xml:space="preserve">b) recommends issues concerning the organization and operation of the </w:t>
      </w:r>
      <w:r w:rsidR="00F23B20">
        <w:rPr>
          <w:lang w:val="en-US"/>
        </w:rPr>
        <w:t>PSP</w:t>
      </w:r>
      <w:r>
        <w:rPr>
          <w:lang w:val="en-US"/>
        </w:rPr>
        <w:t>,</w:t>
      </w:r>
    </w:p>
    <w:p w14:paraId="64AB37F0" w14:textId="06271D3F" w:rsidR="006D3752" w:rsidRDefault="006D3752" w:rsidP="006D3752">
      <w:pPr>
        <w:spacing w:after="120"/>
        <w:ind w:left="360"/>
        <w:rPr>
          <w:lang w:val="en-US"/>
        </w:rPr>
      </w:pPr>
      <w:r>
        <w:rPr>
          <w:lang w:val="en-US"/>
        </w:rPr>
        <w:t xml:space="preserve">c) recommends to the bodies of the </w:t>
      </w:r>
      <w:r w:rsidR="002C65FB">
        <w:rPr>
          <w:lang w:val="en-US"/>
        </w:rPr>
        <w:t>PSP</w:t>
      </w:r>
      <w:r>
        <w:rPr>
          <w:lang w:val="en-US"/>
        </w:rPr>
        <w:t xml:space="preserve"> and the A.E.I. issues related to the effective operation of the </w:t>
      </w:r>
      <w:r w:rsidR="009B26FB">
        <w:rPr>
          <w:lang w:val="en-US"/>
        </w:rPr>
        <w:t>PSP</w:t>
      </w:r>
      <w:r>
        <w:rPr>
          <w:lang w:val="en-US"/>
        </w:rPr>
        <w:t>,</w:t>
      </w:r>
    </w:p>
    <w:p w14:paraId="178DEB93" w14:textId="77777777" w:rsidR="006D3752" w:rsidRDefault="006D3752" w:rsidP="006D3752">
      <w:pPr>
        <w:spacing w:after="120"/>
        <w:ind w:left="360"/>
        <w:rPr>
          <w:lang w:val="en-US"/>
        </w:rPr>
      </w:pPr>
      <w:r>
        <w:rPr>
          <w:lang w:val="en-US"/>
        </w:rPr>
        <w:t>d) is the Scientific Officer of the programme in accordance with article 234 of Law 4957/2022 and exercises the respective responsibilities,</w:t>
      </w:r>
    </w:p>
    <w:p w14:paraId="3A9323C5" w14:textId="77777777" w:rsidR="006D3752" w:rsidRDefault="006D3752" w:rsidP="006D3752">
      <w:pPr>
        <w:spacing w:after="120"/>
        <w:ind w:left="360"/>
        <w:rPr>
          <w:lang w:val="en-US"/>
        </w:rPr>
      </w:pPr>
      <w:r>
        <w:rPr>
          <w:lang w:val="en-US"/>
        </w:rPr>
        <w:t>e) monitors the implementation of the decisions of the institutions of the I.P.M.S. and the Internal Regulations for postgraduate and doctoral programmes, as well as the monitoring of the implementation of the budget of the I.P.M.S,</w:t>
      </w:r>
    </w:p>
    <w:p w14:paraId="39D00D57" w14:textId="77777777" w:rsidR="006D3752" w:rsidRDefault="006D3752" w:rsidP="006D3752">
      <w:pPr>
        <w:spacing w:after="120"/>
        <w:ind w:left="360"/>
        <w:rPr>
          <w:lang w:val="en-US"/>
        </w:rPr>
      </w:pPr>
      <w:r>
        <w:rPr>
          <w:lang w:val="en-US"/>
        </w:rPr>
        <w:t>f) exercise any other powers, which are specified in the decision establishing the MSc.</w:t>
      </w:r>
    </w:p>
    <w:p w14:paraId="7D9C9519" w14:textId="4C70C6A6" w:rsidR="006D3752" w:rsidRDefault="006D3752" w:rsidP="006D3752">
      <w:pPr>
        <w:spacing w:after="120"/>
        <w:ind w:left="360"/>
        <w:rPr>
          <w:lang w:val="en-US"/>
        </w:rPr>
      </w:pPr>
      <w:r>
        <w:rPr>
          <w:b/>
          <w:lang w:val="en-US"/>
        </w:rPr>
        <w:t xml:space="preserve">2.4. </w:t>
      </w:r>
      <w:r>
        <w:rPr>
          <w:lang w:val="en-US"/>
        </w:rPr>
        <w:t xml:space="preserve">Secretarial support of the </w:t>
      </w:r>
      <w:r w:rsidR="00542CB3">
        <w:rPr>
          <w:lang w:val="en-US"/>
        </w:rPr>
        <w:t>PSP.</w:t>
      </w:r>
    </w:p>
    <w:p w14:paraId="7B10DFC2" w14:textId="77777777" w:rsidR="006D3752" w:rsidRDefault="006D3752" w:rsidP="006D3752">
      <w:pPr>
        <w:spacing w:after="120"/>
        <w:ind w:left="360"/>
        <w:rPr>
          <w:lang w:val="en-US"/>
        </w:rPr>
      </w:pPr>
      <w:r>
        <w:rPr>
          <w:lang w:val="en-US"/>
        </w:rPr>
        <w:t>The MSc has its own resources and may hire, in accordance with the applicable legislation, external collaborators for secretarial and administrative support.</w:t>
      </w:r>
    </w:p>
    <w:p w14:paraId="51650319" w14:textId="77777777" w:rsidR="006D3752" w:rsidRDefault="006D3752" w:rsidP="006D3752">
      <w:pPr>
        <w:spacing w:after="120"/>
        <w:ind w:left="360"/>
        <w:rPr>
          <w:lang w:val="en-US"/>
        </w:rPr>
      </w:pPr>
    </w:p>
    <w:p w14:paraId="2B34A608" w14:textId="77777777" w:rsidR="006D3752" w:rsidRDefault="006D3752" w:rsidP="006D3752">
      <w:pPr>
        <w:pStyle w:val="2"/>
        <w:spacing w:before="0" w:after="120" w:line="254" w:lineRule="auto"/>
        <w:rPr>
          <w:sz w:val="26"/>
          <w:lang w:val="en-US"/>
        </w:rPr>
      </w:pPr>
      <w:bookmarkStart w:id="7" w:name="_Toc197974931"/>
      <w:bookmarkStart w:id="8" w:name="_Toc197974972"/>
      <w:r w:rsidRPr="006D3752">
        <w:rPr>
          <w:rStyle w:val="normalchar1"/>
          <w:sz w:val="26"/>
          <w:lang w:val="en-US"/>
        </w:rPr>
        <w:t>ARTICLE 3. CATEGORIES AND NUMBER OF APPLICANTS</w:t>
      </w:r>
      <w:bookmarkEnd w:id="7"/>
      <w:bookmarkEnd w:id="8"/>
    </w:p>
    <w:p w14:paraId="1DD2537B" w14:textId="77777777" w:rsidR="006D3752" w:rsidRDefault="006D3752" w:rsidP="006D3752">
      <w:pPr>
        <w:spacing w:after="120"/>
        <w:rPr>
          <w:lang w:val="en-US" w:eastAsia="ko-KR"/>
        </w:rPr>
      </w:pPr>
      <w:r>
        <w:rPr>
          <w:b/>
          <w:lang w:val="en-US" w:eastAsia="ko-KR"/>
        </w:rPr>
        <w:t xml:space="preserve">3.1. </w:t>
      </w:r>
      <w:r>
        <w:rPr>
          <w:lang w:val="en-US" w:eastAsia="ko-KR"/>
        </w:rPr>
        <w:t xml:space="preserve">Graduates of Higher Education from domestic institutions or similar institutions abroad are admitted to the </w:t>
      </w:r>
      <w:r>
        <w:rPr>
          <w:rFonts w:cs="Calibri"/>
          <w:color w:val="000000"/>
          <w:lang w:val="en-US"/>
        </w:rPr>
        <w:t xml:space="preserve">MSc. </w:t>
      </w:r>
    </w:p>
    <w:p w14:paraId="28D94F9B" w14:textId="77777777" w:rsidR="006D3752" w:rsidRDefault="006D3752" w:rsidP="006D3752">
      <w:pPr>
        <w:spacing w:after="120"/>
        <w:rPr>
          <w:lang w:val="en-US" w:eastAsia="ko-KR"/>
        </w:rPr>
      </w:pPr>
      <w:r>
        <w:rPr>
          <w:lang w:val="en-US" w:eastAsia="ko-KR"/>
        </w:rPr>
        <w:t xml:space="preserve">For participation in the </w:t>
      </w:r>
      <w:r>
        <w:rPr>
          <w:rFonts w:cs="Calibri"/>
          <w:lang w:val="en-US"/>
        </w:rPr>
        <w:t xml:space="preserve">MSc programme, </w:t>
      </w:r>
      <w:r>
        <w:rPr>
          <w:lang w:val="en-US" w:eastAsia="ko-KR"/>
        </w:rPr>
        <w:t>certified knowledge of the English language at least at level C1 is required.</w:t>
      </w:r>
    </w:p>
    <w:p w14:paraId="33CFB072" w14:textId="77777777" w:rsidR="006D3752" w:rsidRDefault="006D3752" w:rsidP="006D3752">
      <w:pPr>
        <w:spacing w:after="120"/>
        <w:rPr>
          <w:lang w:val="en-US" w:eastAsia="ko-KR"/>
        </w:rPr>
      </w:pPr>
      <w:r>
        <w:rPr>
          <w:b/>
          <w:lang w:val="en-US" w:eastAsia="ko-KR"/>
        </w:rPr>
        <w:t xml:space="preserve">3.2 </w:t>
      </w:r>
      <w:r>
        <w:rPr>
          <w:lang w:val="en-US" w:eastAsia="ko-KR"/>
        </w:rPr>
        <w:t>The maximum number of students admitted to the MSc is set at fifty (50) per year.</w:t>
      </w:r>
    </w:p>
    <w:p w14:paraId="41B0D5AA" w14:textId="77777777" w:rsidR="006D3752" w:rsidRDefault="006D3752" w:rsidP="006D3752">
      <w:pPr>
        <w:rPr>
          <w:lang w:val="en-US" w:eastAsia="ko-KR"/>
        </w:rPr>
      </w:pPr>
      <w:r>
        <w:rPr>
          <w:b/>
          <w:lang w:val="en-US" w:eastAsia="ko-KR"/>
        </w:rPr>
        <w:t xml:space="preserve">3.3. </w:t>
      </w:r>
      <w:r>
        <w:rPr>
          <w:lang w:val="en-US" w:eastAsia="ko-KR"/>
        </w:rPr>
        <w:t>Excluded from the above restriction are those who are equal during the evaluation and the scholarship holders (1) ICF and (1) foreign scholar of the Greek state as well as one (1) member from all the categories of H.E.P., H.D.I.P. and H.T.E.P., unless the Assembly of the Department decides otherwise.</w:t>
      </w:r>
    </w:p>
    <w:p w14:paraId="3801A2D7" w14:textId="77777777" w:rsidR="006D3752" w:rsidRPr="006D3752" w:rsidRDefault="006D3752" w:rsidP="006D3752">
      <w:pPr>
        <w:pStyle w:val="2"/>
        <w:spacing w:before="0" w:after="120" w:line="254" w:lineRule="auto"/>
        <w:rPr>
          <w:rStyle w:val="normalchar1"/>
          <w:rFonts w:ascii="Calibri" w:hAnsi="Calibri"/>
          <w:sz w:val="26"/>
          <w:lang w:val="en-US"/>
        </w:rPr>
      </w:pPr>
    </w:p>
    <w:p w14:paraId="31D0E1E8" w14:textId="77777777" w:rsidR="006D3752" w:rsidRPr="006D3752" w:rsidRDefault="006D3752" w:rsidP="006D3752">
      <w:pPr>
        <w:pStyle w:val="2"/>
        <w:spacing w:before="0" w:after="120" w:line="254" w:lineRule="auto"/>
        <w:rPr>
          <w:rFonts w:eastAsia="Times New Roman"/>
          <w:lang w:val="en-US"/>
        </w:rPr>
      </w:pPr>
      <w:bookmarkStart w:id="9" w:name="_Toc197974932"/>
      <w:bookmarkStart w:id="10" w:name="_Toc197974973"/>
      <w:r w:rsidRPr="006D3752">
        <w:rPr>
          <w:rStyle w:val="normalchar1"/>
          <w:sz w:val="26"/>
          <w:lang w:val="en-US"/>
        </w:rPr>
        <w:t>ARTICLE 4. METHOD OF INTRODUCTION</w:t>
      </w:r>
      <w:bookmarkEnd w:id="9"/>
      <w:bookmarkEnd w:id="10"/>
    </w:p>
    <w:p w14:paraId="357745EB" w14:textId="59376456" w:rsidR="006D3752" w:rsidRDefault="006D3752" w:rsidP="006D3752">
      <w:pPr>
        <w:spacing w:after="120"/>
        <w:rPr>
          <w:lang w:val="en-US" w:eastAsia="ko-KR"/>
        </w:rPr>
      </w:pPr>
      <w:r>
        <w:rPr>
          <w:b/>
          <w:lang w:val="en-US" w:eastAsia="ko-KR"/>
        </w:rPr>
        <w:t xml:space="preserve">4.1 </w:t>
      </w:r>
      <w:r w:rsidRPr="009B26FB">
        <w:rPr>
          <w:lang w:val="en-US" w:eastAsia="ko-KR"/>
        </w:rPr>
        <w:t>The</w:t>
      </w:r>
      <w:r>
        <w:rPr>
          <w:b/>
          <w:lang w:val="en-US" w:eastAsia="ko-KR"/>
        </w:rPr>
        <w:t xml:space="preserve"> </w:t>
      </w:r>
      <w:r>
        <w:rPr>
          <w:lang w:val="en-US" w:eastAsia="ko-KR"/>
        </w:rPr>
        <w:t>selection of students is made in accordance with the applicable legislation, the Regulations for Postgraduate and Doctoral Studies o</w:t>
      </w:r>
      <w:r w:rsidR="00B65A55">
        <w:rPr>
          <w:lang w:val="en-US" w:eastAsia="ko-KR"/>
        </w:rPr>
        <w:t>f the University of Thessaly</w:t>
      </w:r>
      <w:r>
        <w:rPr>
          <w:lang w:val="en-US" w:eastAsia="ko-KR"/>
        </w:rPr>
        <w:t xml:space="preserve"> and the provisions of these Regulations.</w:t>
      </w:r>
    </w:p>
    <w:p w14:paraId="3BC20A89" w14:textId="77777777" w:rsidR="006D3752" w:rsidRDefault="006D3752" w:rsidP="006D3752">
      <w:pPr>
        <w:spacing w:after="120"/>
        <w:rPr>
          <w:rFonts w:eastAsia="Times New Roman"/>
          <w:szCs w:val="26"/>
          <w:lang w:val="en-US" w:eastAsia="ko-KR"/>
        </w:rPr>
      </w:pPr>
      <w:r>
        <w:rPr>
          <w:rFonts w:eastAsia="Times New Roman"/>
          <w:b/>
          <w:szCs w:val="26"/>
          <w:lang w:val="en-US" w:eastAsia="ko-KR"/>
        </w:rPr>
        <w:t xml:space="preserve">4.2 </w:t>
      </w:r>
      <w:r>
        <w:rPr>
          <w:rFonts w:cs="Calibri"/>
          <w:color w:val="000000"/>
          <w:lang w:val="en-US" w:eastAsia="el-GR"/>
        </w:rPr>
        <w:t xml:space="preserve">Every year the Director of the </w:t>
      </w:r>
      <w:r>
        <w:rPr>
          <w:rFonts w:cs="Calibri"/>
          <w:lang w:val="en-US"/>
        </w:rPr>
        <w:t xml:space="preserve">MSc </w:t>
      </w:r>
      <w:r>
        <w:rPr>
          <w:rFonts w:cs="Calibri"/>
          <w:color w:val="000000"/>
          <w:lang w:val="en-US" w:eastAsia="el-GR"/>
        </w:rPr>
        <w:t xml:space="preserve">publishes a notice for the admission of postgraduate students to the MSc in the Press and on the </w:t>
      </w:r>
      <w:r>
        <w:rPr>
          <w:rFonts w:cs="Calibri"/>
          <w:lang w:val="en-US" w:eastAsia="el-GR"/>
        </w:rPr>
        <w:t xml:space="preserve">website of the </w:t>
      </w:r>
      <w:r>
        <w:rPr>
          <w:rFonts w:cs="Calibri"/>
          <w:color w:val="000000"/>
          <w:lang w:val="en-US"/>
        </w:rPr>
        <w:t xml:space="preserve">MSc </w:t>
      </w:r>
      <w:r>
        <w:rPr>
          <w:rFonts w:eastAsia="Times New Roman"/>
          <w:szCs w:val="26"/>
          <w:lang w:val="en-US" w:eastAsia="ko-KR"/>
        </w:rPr>
        <w:t xml:space="preserve">and the Foundation </w:t>
      </w:r>
      <w:r>
        <w:rPr>
          <w:rFonts w:cs="Calibri"/>
          <w:color w:val="000000"/>
          <w:lang w:val="en-US" w:eastAsia="el-GR"/>
        </w:rPr>
        <w:t>two (2) months before the deadline for applications</w:t>
      </w:r>
      <w:r>
        <w:rPr>
          <w:rFonts w:cs="Calibri"/>
          <w:lang w:val="en-US" w:eastAsia="el-GR"/>
        </w:rPr>
        <w:t xml:space="preserve">. The invitation shall also be communicated to the Ministries, N.P.D.D. or N.P.I.D. concerned and to the professional bodies concerned.  </w:t>
      </w:r>
    </w:p>
    <w:p w14:paraId="1E1AEC29" w14:textId="77777777" w:rsidR="006D3752" w:rsidRDefault="006D3752" w:rsidP="00FB6783">
      <w:pPr>
        <w:numPr>
          <w:ilvl w:val="0"/>
          <w:numId w:val="21"/>
        </w:numPr>
        <w:spacing w:after="120" w:line="254" w:lineRule="auto"/>
        <w:ind w:right="166"/>
        <w:contextualSpacing/>
        <w:rPr>
          <w:rFonts w:eastAsia="Calibri" w:cs="Calibri"/>
          <w:color w:val="000000"/>
          <w:lang w:val="en-US" w:eastAsia="el-GR"/>
        </w:rPr>
      </w:pPr>
      <w:r>
        <w:rPr>
          <w:rFonts w:cs="Calibri"/>
          <w:color w:val="000000"/>
          <w:lang w:val="en-US" w:eastAsia="el-GR"/>
        </w:rPr>
        <w:t xml:space="preserve">Candidates' applications must be accompanied by the supporting documents specified below. Applications not accompanied by the necessary certificates or supporting documents will not be taken into consideration in the selection procedure. The invitation will specify the admission requirements, the categories of graduates and number of candidates, the admission procedure, the selection criteria, etc., the deadlines for submitting applications and the supporting documents required.  </w:t>
      </w:r>
    </w:p>
    <w:p w14:paraId="09E291D4" w14:textId="77777777" w:rsidR="006D3752" w:rsidRDefault="006D3752" w:rsidP="00FB6783">
      <w:pPr>
        <w:numPr>
          <w:ilvl w:val="0"/>
          <w:numId w:val="21"/>
        </w:numPr>
        <w:spacing w:after="120" w:line="254" w:lineRule="auto"/>
        <w:ind w:right="166"/>
        <w:contextualSpacing/>
        <w:rPr>
          <w:rFonts w:cs="Calibri"/>
          <w:color w:val="000000"/>
          <w:lang w:val="en-US" w:eastAsia="el-GR"/>
        </w:rPr>
      </w:pPr>
      <w:r>
        <w:rPr>
          <w:rFonts w:cs="Calibri"/>
          <w:color w:val="000000"/>
          <w:lang w:val="en-US" w:eastAsia="el-GR"/>
        </w:rPr>
        <w:t xml:space="preserve">Interested students have the right to apply for enrolment in the </w:t>
      </w:r>
      <w:r>
        <w:rPr>
          <w:rFonts w:cs="Calibri"/>
          <w:lang w:val="en-US"/>
        </w:rPr>
        <w:t xml:space="preserve">programme </w:t>
      </w:r>
      <w:r>
        <w:rPr>
          <w:rFonts w:cs="Calibri"/>
          <w:color w:val="000000"/>
          <w:lang w:val="en-US" w:eastAsia="el-GR"/>
        </w:rPr>
        <w:t>within one (1) month from the publication of the call for applications</w:t>
      </w:r>
      <w:r>
        <w:rPr>
          <w:rFonts w:cs="Calibri"/>
          <w:lang w:val="en-US"/>
        </w:rPr>
        <w:t>.</w:t>
      </w:r>
      <w:r>
        <w:rPr>
          <w:rFonts w:cs="Calibri"/>
          <w:color w:val="000000"/>
          <w:lang w:val="en-US" w:eastAsia="el-GR"/>
        </w:rPr>
        <w:t xml:space="preserve">  </w:t>
      </w:r>
    </w:p>
    <w:p w14:paraId="54011694" w14:textId="77777777" w:rsidR="006D3752" w:rsidRDefault="006D3752" w:rsidP="006D3752">
      <w:pPr>
        <w:spacing w:after="120"/>
        <w:ind w:left="-5" w:right="166" w:hanging="10"/>
        <w:rPr>
          <w:rFonts w:cs="Calibri"/>
          <w:color w:val="000000"/>
          <w:lang w:val="en-US" w:eastAsia="el-GR"/>
        </w:rPr>
      </w:pPr>
      <w:r>
        <w:rPr>
          <w:rFonts w:cs="Calibri"/>
          <w:color w:val="000000"/>
          <w:lang w:val="en-US" w:eastAsia="el-GR"/>
        </w:rPr>
        <w:t xml:space="preserve">Applications together with the necessary supporting documents are submitted to the Secretariat of the </w:t>
      </w:r>
      <w:r>
        <w:rPr>
          <w:rFonts w:cs="Calibri"/>
          <w:lang w:val="en-US"/>
        </w:rPr>
        <w:t xml:space="preserve">MSc in </w:t>
      </w:r>
      <w:r>
        <w:rPr>
          <w:rFonts w:cs="Calibri"/>
          <w:color w:val="000000"/>
          <w:lang w:val="en-US" w:eastAsia="el-GR"/>
        </w:rPr>
        <w:t xml:space="preserve">hard copy and in electronic form. Candidates will be assessed within the deadlines set by the competition notice and provided they have submitted all the necessary supporting documents in good time.  </w:t>
      </w:r>
    </w:p>
    <w:p w14:paraId="48CC1E2E" w14:textId="183A8723" w:rsidR="006D3752" w:rsidRDefault="006D3752" w:rsidP="006D3752">
      <w:pPr>
        <w:spacing w:after="120"/>
        <w:ind w:left="-5" w:right="166" w:hanging="10"/>
        <w:rPr>
          <w:rFonts w:cs="Calibri"/>
          <w:color w:val="000000"/>
          <w:lang w:val="en-US" w:eastAsia="el-GR"/>
        </w:rPr>
      </w:pPr>
      <w:r w:rsidRPr="004E4894">
        <w:rPr>
          <w:rFonts w:cs="Calibri"/>
          <w:color w:val="000000"/>
          <w:lang w:val="en-US" w:eastAsia="el-GR"/>
        </w:rPr>
        <w:lastRenderedPageBreak/>
        <w:t>Interested parties are invited to send by the specific date foreseen by the publication of the call for expressions of interest for the submission of applications for participation in the MSc entitled: "</w:t>
      </w:r>
      <w:r w:rsidR="004E4894" w:rsidRPr="004E4894">
        <w:rPr>
          <w:b/>
          <w:bCs/>
          <w:i/>
          <w:lang w:val="en-US"/>
        </w:rPr>
        <w:t xml:space="preserve"> </w:t>
      </w:r>
      <w:r w:rsidR="004E4894" w:rsidRPr="004E4894">
        <w:rPr>
          <w:rFonts w:cs="Calibri"/>
          <w:b/>
          <w:bCs/>
          <w:i/>
          <w:color w:val="000000"/>
          <w:lang w:val="en-US" w:eastAsia="el-GR"/>
        </w:rPr>
        <w:t>MSc in Government Digital Innovation and Transformation</w:t>
      </w:r>
      <w:r w:rsidR="004E4894" w:rsidRPr="004E4894">
        <w:rPr>
          <w:rFonts w:cs="Calibri"/>
          <w:i/>
          <w:color w:val="000000"/>
          <w:lang w:val="en-US" w:eastAsia="el-GR"/>
        </w:rPr>
        <w:t xml:space="preserve"> </w:t>
      </w:r>
      <w:r w:rsidRPr="004E4894">
        <w:rPr>
          <w:rFonts w:cs="Calibri"/>
          <w:color w:val="000000"/>
          <w:lang w:val="en-US" w:eastAsia="el-GR"/>
        </w:rPr>
        <w:t xml:space="preserve">", by e-mail to the official address of the </w:t>
      </w:r>
      <w:r w:rsidRPr="004E4894">
        <w:rPr>
          <w:rFonts w:cs="Calibri"/>
          <w:lang w:val="en-US"/>
        </w:rPr>
        <w:t xml:space="preserve">MSc, a </w:t>
      </w:r>
      <w:r w:rsidRPr="004E4894">
        <w:rPr>
          <w:rFonts w:cs="Calibri"/>
          <w:color w:val="000000"/>
          <w:lang w:val="en-US" w:eastAsia="el-GR"/>
        </w:rPr>
        <w:t xml:space="preserve">fully completed Application for Expression of Interest which will be available on the official website of the </w:t>
      </w:r>
      <w:r w:rsidRPr="004E4894">
        <w:rPr>
          <w:rFonts w:cs="Calibri"/>
          <w:lang w:val="en-US"/>
        </w:rPr>
        <w:t>MSc</w:t>
      </w:r>
      <w:r w:rsidRPr="004E4894">
        <w:rPr>
          <w:rFonts w:cs="Calibri"/>
          <w:color w:val="000000"/>
          <w:lang w:val="en-US" w:eastAsia="el-GR"/>
        </w:rPr>
        <w:t>.</w:t>
      </w:r>
      <w:r>
        <w:rPr>
          <w:rFonts w:cs="Calibri"/>
          <w:color w:val="000000"/>
          <w:lang w:val="en-US" w:eastAsia="el-GR"/>
        </w:rPr>
        <w:t xml:space="preserve">  </w:t>
      </w:r>
    </w:p>
    <w:p w14:paraId="59AEB28F" w14:textId="77777777" w:rsidR="006D3752" w:rsidRDefault="006D3752" w:rsidP="006D3752">
      <w:pPr>
        <w:spacing w:after="120"/>
        <w:ind w:left="-5" w:right="166" w:hanging="10"/>
        <w:rPr>
          <w:rFonts w:cs="Calibri"/>
          <w:color w:val="000000"/>
          <w:lang w:val="en-US" w:eastAsia="el-GR"/>
        </w:rPr>
      </w:pPr>
      <w:r>
        <w:rPr>
          <w:rFonts w:cs="Calibri"/>
          <w:color w:val="000000"/>
          <w:lang w:val="en-US" w:eastAsia="el-GR"/>
        </w:rPr>
        <w:t>This time limit may be extended by decision of the selection board (PHASE II).</w:t>
      </w:r>
    </w:p>
    <w:p w14:paraId="1E050EB7" w14:textId="77777777" w:rsidR="006D3752" w:rsidRDefault="006D3752" w:rsidP="006D3752">
      <w:pPr>
        <w:spacing w:after="120"/>
        <w:ind w:left="-5" w:right="164" w:hanging="10"/>
        <w:rPr>
          <w:rFonts w:cs="Calibri"/>
          <w:color w:val="000000"/>
          <w:lang w:val="en-US" w:eastAsia="el-GR"/>
        </w:rPr>
      </w:pPr>
      <w:r>
        <w:rPr>
          <w:rFonts w:eastAsia="Times New Roman"/>
          <w:b/>
          <w:szCs w:val="26"/>
          <w:lang w:val="en-US" w:eastAsia="ko-KR"/>
        </w:rPr>
        <w:t xml:space="preserve">4.3 </w:t>
      </w:r>
      <w:r>
        <w:rPr>
          <w:rFonts w:cs="Calibri"/>
          <w:color w:val="000000"/>
          <w:lang w:val="en-US" w:eastAsia="el-GR"/>
        </w:rPr>
        <w:t xml:space="preserve">During this period, the interested parties must submit the following documents in English to the Secretariat of the </w:t>
      </w:r>
      <w:r>
        <w:rPr>
          <w:rFonts w:cs="Calibri"/>
          <w:lang w:val="en-US"/>
        </w:rPr>
        <w:t xml:space="preserve">MSc in the </w:t>
      </w:r>
      <w:r>
        <w:rPr>
          <w:rFonts w:cs="Calibri"/>
          <w:color w:val="000000"/>
          <w:lang w:val="en-US" w:eastAsia="el-GR"/>
        </w:rPr>
        <w:t xml:space="preserve">manner specified in the notice (e.g. electronically):   </w:t>
      </w:r>
    </w:p>
    <w:p w14:paraId="43123223" w14:textId="77777777" w:rsidR="006D3752" w:rsidRDefault="006D3752" w:rsidP="00FB6783">
      <w:pPr>
        <w:numPr>
          <w:ilvl w:val="0"/>
          <w:numId w:val="22"/>
        </w:numPr>
        <w:spacing w:after="120" w:line="254" w:lineRule="auto"/>
        <w:ind w:right="164"/>
        <w:contextualSpacing/>
        <w:rPr>
          <w:rFonts w:cs="Calibri"/>
          <w:color w:val="000000"/>
          <w:lang w:val="en-US" w:eastAsia="el-GR"/>
        </w:rPr>
      </w:pPr>
      <w:r>
        <w:rPr>
          <w:rFonts w:cs="Calibri"/>
          <w:color w:val="000000"/>
          <w:lang w:val="en-US" w:eastAsia="el-GR"/>
        </w:rPr>
        <w:t xml:space="preserve">A photocopy of your identity card. </w:t>
      </w:r>
    </w:p>
    <w:p w14:paraId="2C1A3046" w14:textId="77777777" w:rsidR="006D3752" w:rsidRDefault="006D3752" w:rsidP="00FB6783">
      <w:pPr>
        <w:numPr>
          <w:ilvl w:val="0"/>
          <w:numId w:val="22"/>
        </w:numPr>
        <w:spacing w:after="120" w:line="254" w:lineRule="auto"/>
        <w:ind w:right="164"/>
        <w:contextualSpacing/>
        <w:rPr>
          <w:rFonts w:cs="Calibri"/>
          <w:color w:val="000000"/>
          <w:lang w:val="en-US" w:eastAsia="el-GR"/>
        </w:rPr>
      </w:pPr>
      <w:r>
        <w:rPr>
          <w:rFonts w:cs="Calibri"/>
          <w:color w:val="000000"/>
          <w:lang w:val="en-US" w:eastAsia="el-GR"/>
        </w:rPr>
        <w:t xml:space="preserve">A complete and up-to-date curriculum vitae, including information on the candidate's studies, scientific and professional activity.   </w:t>
      </w:r>
    </w:p>
    <w:p w14:paraId="03BAB2D1" w14:textId="77777777" w:rsidR="006D3752" w:rsidRDefault="006D3752" w:rsidP="00FB6783">
      <w:pPr>
        <w:numPr>
          <w:ilvl w:val="0"/>
          <w:numId w:val="22"/>
        </w:numPr>
        <w:spacing w:after="120" w:line="254" w:lineRule="auto"/>
        <w:ind w:right="164"/>
        <w:contextualSpacing/>
        <w:rPr>
          <w:rFonts w:cs="Calibri"/>
          <w:color w:val="000000"/>
          <w:lang w:val="en-US" w:eastAsia="el-GR"/>
        </w:rPr>
      </w:pPr>
      <w:r>
        <w:rPr>
          <w:rFonts w:cs="Calibri"/>
          <w:color w:val="000000"/>
          <w:lang w:val="en-US" w:eastAsia="el-GR"/>
        </w:rPr>
        <w:t>Copies of diplomas and certificates (or Diploma Supplements) or a solemn declaration that they are expected to complete their graduation 10 days before the start of the courses of the MSc</w:t>
      </w:r>
      <w:r>
        <w:rPr>
          <w:rFonts w:cs="Calibri"/>
          <w:lang w:val="en-US"/>
        </w:rPr>
        <w:t xml:space="preserve">.   </w:t>
      </w:r>
    </w:p>
    <w:p w14:paraId="2C6AB70C" w14:textId="77777777" w:rsidR="006D3752" w:rsidRDefault="006D3752" w:rsidP="00FB6783">
      <w:pPr>
        <w:numPr>
          <w:ilvl w:val="0"/>
          <w:numId w:val="22"/>
        </w:numPr>
        <w:spacing w:after="120" w:line="254" w:lineRule="auto"/>
        <w:ind w:right="164"/>
        <w:contextualSpacing/>
        <w:rPr>
          <w:rFonts w:cs="Calibri"/>
          <w:color w:val="000000"/>
          <w:lang w:val="en-US" w:eastAsia="el-GR"/>
        </w:rPr>
      </w:pPr>
      <w:r>
        <w:rPr>
          <w:rFonts w:cs="Calibri"/>
          <w:color w:val="000000"/>
          <w:lang w:val="en-US" w:eastAsia="el-GR"/>
        </w:rPr>
        <w:t xml:space="preserve">Copies of foreign language certificates of at least B2 level in order to assess the application. </w:t>
      </w:r>
    </w:p>
    <w:p w14:paraId="14FD06E7" w14:textId="77777777" w:rsidR="006D3752" w:rsidRDefault="006D3752" w:rsidP="00FB6783">
      <w:pPr>
        <w:numPr>
          <w:ilvl w:val="0"/>
          <w:numId w:val="22"/>
        </w:numPr>
        <w:spacing w:after="120" w:line="254" w:lineRule="auto"/>
        <w:ind w:right="164"/>
        <w:contextualSpacing/>
        <w:rPr>
          <w:rFonts w:cs="Calibri"/>
          <w:color w:val="000000"/>
          <w:lang w:val="en-US" w:eastAsia="el-GR"/>
        </w:rPr>
      </w:pPr>
      <w:r>
        <w:rPr>
          <w:rFonts w:cs="Calibri"/>
          <w:color w:val="000000"/>
          <w:lang w:val="en-US" w:eastAsia="el-GR"/>
        </w:rPr>
        <w:t xml:space="preserve">Evidence of professional, educational experience and scientific activity in general (if available). </w:t>
      </w:r>
    </w:p>
    <w:p w14:paraId="49FE8098" w14:textId="77777777" w:rsidR="006D3752" w:rsidRDefault="006D3752" w:rsidP="00FB6783">
      <w:pPr>
        <w:numPr>
          <w:ilvl w:val="0"/>
          <w:numId w:val="22"/>
        </w:numPr>
        <w:spacing w:after="120" w:line="254" w:lineRule="auto"/>
        <w:ind w:right="164"/>
        <w:contextualSpacing/>
        <w:rPr>
          <w:rFonts w:cs="Calibri"/>
          <w:color w:val="000000"/>
          <w:lang w:val="en-US" w:eastAsia="el-GR"/>
        </w:rPr>
      </w:pPr>
      <w:r>
        <w:rPr>
          <w:rFonts w:cs="Calibri"/>
          <w:color w:val="000000"/>
          <w:lang w:val="en-US" w:eastAsia="el-GR"/>
        </w:rPr>
        <w:t xml:space="preserve">Two letters of recommendation from University professors or Researchers of recognized Research Centres in Greece or abroad or from the Head of his/her Department if he/she is an employee and if available.  </w:t>
      </w:r>
    </w:p>
    <w:p w14:paraId="4398154B" w14:textId="5290088A" w:rsidR="006D3752" w:rsidRDefault="006D3752" w:rsidP="006D3752">
      <w:pPr>
        <w:spacing w:after="120"/>
        <w:ind w:left="-5" w:right="164" w:hanging="10"/>
        <w:rPr>
          <w:rFonts w:cs="Calibri"/>
          <w:color w:val="000000"/>
          <w:lang w:val="en-US" w:eastAsia="el-GR"/>
        </w:rPr>
      </w:pPr>
      <w:r>
        <w:rPr>
          <w:rFonts w:cs="Calibri"/>
          <w:color w:val="000000"/>
          <w:lang w:val="en-US" w:eastAsia="el-GR"/>
        </w:rPr>
        <w:t xml:space="preserve">The Application for Expression of Interest should be submitted in paper form together with the above documents or according to the terms of the announcement of the </w:t>
      </w:r>
      <w:r w:rsidR="00542CB3">
        <w:rPr>
          <w:rFonts w:cs="Calibri"/>
          <w:lang w:val="en-US"/>
        </w:rPr>
        <w:t>PSP.</w:t>
      </w:r>
      <w:r>
        <w:rPr>
          <w:rFonts w:cs="Calibri"/>
          <w:color w:val="000000"/>
          <w:lang w:val="en-US" w:eastAsia="el-GR"/>
        </w:rPr>
        <w:t xml:space="preserve"> </w:t>
      </w:r>
    </w:p>
    <w:p w14:paraId="3C75C26D" w14:textId="77777777" w:rsidR="006D3752" w:rsidRDefault="006D3752" w:rsidP="006D3752">
      <w:pPr>
        <w:spacing w:after="120"/>
        <w:rPr>
          <w:rFonts w:cs="Times New Roman"/>
          <w:lang w:val="en-US" w:eastAsia="ko-KR"/>
        </w:rPr>
      </w:pPr>
      <w:r>
        <w:rPr>
          <w:b/>
          <w:lang w:val="en-US" w:eastAsia="ko-KR"/>
        </w:rPr>
        <w:t xml:space="preserve">4.4 </w:t>
      </w:r>
      <w:r>
        <w:rPr>
          <w:lang w:val="en-US" w:eastAsia="ko-KR"/>
        </w:rPr>
        <w:t xml:space="preserve">In the case of candidates who hold a first cycle degree from a foreign country, the Secretariat of the MSc in accordance with the provisions of the legislation, checks whether the institution of origin belongs to the National Register of Recognized Institutions of Foreign Countries and whether the type of degree belongs to the National Register of Types of Degrees of Recognized Institutions posted on the website of the D.O.A.T.A.P. </w:t>
      </w:r>
    </w:p>
    <w:p w14:paraId="0CB0A3D2" w14:textId="000692F8" w:rsidR="006D3752" w:rsidRDefault="006D3752" w:rsidP="006D3752">
      <w:pPr>
        <w:spacing w:after="120"/>
        <w:rPr>
          <w:lang w:val="en-US" w:eastAsia="ko-KR"/>
        </w:rPr>
      </w:pPr>
      <w:r>
        <w:rPr>
          <w:lang w:val="en-US" w:eastAsia="ko-KR"/>
        </w:rPr>
        <w:t xml:space="preserve">If the degree from a foreign university is included in the IOATAP list of article 307 of Law 4957/2022, the Secretariat of the </w:t>
      </w:r>
      <w:r w:rsidR="00542CB3">
        <w:rPr>
          <w:rFonts w:cs="Calibri"/>
          <w:color w:val="000000"/>
          <w:lang w:val="en-US"/>
        </w:rPr>
        <w:t>PSP</w:t>
      </w:r>
      <w:r>
        <w:rPr>
          <w:rFonts w:cs="Calibri"/>
          <w:color w:val="000000"/>
          <w:lang w:val="en-US"/>
        </w:rPr>
        <w:t xml:space="preserve"> </w:t>
      </w:r>
      <w:r>
        <w:rPr>
          <w:lang w:val="en-US" w:eastAsia="ko-KR"/>
        </w:rPr>
        <w:t>must request a Certificate of Place of Study, which is issued and sent by the foreign university. Applications in which the Greek territory is confirmed as the place of study are excluded, unless the part of the studies that took place in the Greek territory is located in a public university. 3328/2005 (</w:t>
      </w:r>
      <w:r>
        <w:rPr>
          <w:lang w:eastAsia="ko-KR"/>
        </w:rPr>
        <w:t>Α΄</w:t>
      </w:r>
      <w:r>
        <w:rPr>
          <w:lang w:val="en-US" w:eastAsia="ko-KR"/>
        </w:rPr>
        <w:t xml:space="preserve"> 80).  </w:t>
      </w:r>
    </w:p>
    <w:p w14:paraId="6F89690E" w14:textId="77777777" w:rsidR="006D3752" w:rsidRDefault="006D3752" w:rsidP="006D3752">
      <w:pPr>
        <w:spacing w:after="120"/>
        <w:rPr>
          <w:bCs/>
          <w:lang w:val="en-US" w:eastAsia="ja-JP"/>
        </w:rPr>
      </w:pPr>
      <w:r>
        <w:rPr>
          <w:b/>
          <w:bCs/>
          <w:lang w:val="en-US" w:eastAsia="ja-JP"/>
        </w:rPr>
        <w:t xml:space="preserve">4.5.  </w:t>
      </w:r>
      <w:r w:rsidRPr="005C0AA2">
        <w:rPr>
          <w:bCs/>
          <w:lang w:val="en-US" w:eastAsia="ja-JP"/>
        </w:rPr>
        <w:t xml:space="preserve">The </w:t>
      </w:r>
      <w:r>
        <w:rPr>
          <w:bCs/>
          <w:lang w:val="en-US" w:eastAsia="ja-JP"/>
        </w:rPr>
        <w:t xml:space="preserve">evaluation of candidates and the selection of admission is based on the overall score (on a scale of 1 - 100) on the following criteria: </w:t>
      </w:r>
    </w:p>
    <w:tbl>
      <w:tblPr>
        <w:tblW w:w="5000" w:type="pct"/>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CellMar>
          <w:left w:w="30" w:type="dxa"/>
          <w:right w:w="30" w:type="dxa"/>
        </w:tblCellMar>
        <w:tblLook w:val="04A0" w:firstRow="1" w:lastRow="0" w:firstColumn="1" w:lastColumn="0" w:noHBand="0" w:noVBand="1"/>
      </w:tblPr>
      <w:tblGrid>
        <w:gridCol w:w="910"/>
        <w:gridCol w:w="6845"/>
        <w:gridCol w:w="1453"/>
      </w:tblGrid>
      <w:tr w:rsidR="006D3752" w14:paraId="1A0E4B7E" w14:textId="77777777" w:rsidTr="006D3752">
        <w:trPr>
          <w:trHeight w:val="147"/>
        </w:trPr>
        <w:tc>
          <w:tcPr>
            <w:tcW w:w="494" w:type="pct"/>
            <w:tcBorders>
              <w:top w:val="single" w:sz="2" w:space="0" w:color="5B9BD5"/>
              <w:left w:val="single" w:sz="2" w:space="0" w:color="5B9BD5"/>
              <w:bottom w:val="single" w:sz="2" w:space="0" w:color="5B9BD5"/>
              <w:right w:val="nil"/>
            </w:tcBorders>
            <w:shd w:val="clear" w:color="auto" w:fill="5B9BD5"/>
            <w:hideMark/>
          </w:tcPr>
          <w:p w14:paraId="05904004" w14:textId="77777777" w:rsidR="006D3752" w:rsidRDefault="006D3752">
            <w:pPr>
              <w:spacing w:after="63"/>
              <w:rPr>
                <w:rFonts w:eastAsia="Times New Roman"/>
                <w:color w:val="FFFFFF"/>
                <w:lang w:eastAsia="el-GR"/>
              </w:rPr>
            </w:pPr>
            <w:r>
              <w:rPr>
                <w:rFonts w:eastAsia="Times New Roman"/>
                <w:b/>
                <w:bCs/>
                <w:color w:val="FFFFFF"/>
                <w:lang w:eastAsia="el-GR"/>
              </w:rPr>
              <w:t xml:space="preserve">A/N </w:t>
            </w:r>
          </w:p>
        </w:tc>
        <w:tc>
          <w:tcPr>
            <w:tcW w:w="3717" w:type="pct"/>
            <w:tcBorders>
              <w:top w:val="single" w:sz="2" w:space="0" w:color="5B9BD5"/>
              <w:left w:val="nil"/>
              <w:bottom w:val="single" w:sz="2" w:space="0" w:color="5B9BD5"/>
              <w:right w:val="nil"/>
            </w:tcBorders>
            <w:shd w:val="clear" w:color="auto" w:fill="5B9BD5"/>
            <w:hideMark/>
          </w:tcPr>
          <w:p w14:paraId="09F48BBC" w14:textId="77777777" w:rsidR="006D3752" w:rsidRDefault="006D3752">
            <w:pPr>
              <w:spacing w:after="63"/>
              <w:rPr>
                <w:rFonts w:eastAsia="Times New Roman"/>
                <w:color w:val="FFFFFF"/>
                <w:lang w:eastAsia="el-GR"/>
              </w:rPr>
            </w:pPr>
            <w:r>
              <w:rPr>
                <w:rFonts w:eastAsia="Times New Roman"/>
                <w:b/>
                <w:bCs/>
                <w:color w:val="FFFFFF"/>
                <w:lang w:eastAsia="el-GR"/>
              </w:rPr>
              <w:t xml:space="preserve">SELECTION CRITERIA </w:t>
            </w:r>
          </w:p>
        </w:tc>
        <w:tc>
          <w:tcPr>
            <w:tcW w:w="789" w:type="pct"/>
            <w:tcBorders>
              <w:top w:val="single" w:sz="2" w:space="0" w:color="5B9BD5"/>
              <w:left w:val="nil"/>
              <w:bottom w:val="single" w:sz="2" w:space="0" w:color="5B9BD5"/>
              <w:right w:val="single" w:sz="2" w:space="0" w:color="5B9BD5"/>
            </w:tcBorders>
            <w:shd w:val="clear" w:color="auto" w:fill="5B9BD5"/>
            <w:hideMark/>
          </w:tcPr>
          <w:p w14:paraId="05A15A35" w14:textId="77777777" w:rsidR="006D3752" w:rsidRDefault="006D3752">
            <w:pPr>
              <w:spacing w:after="63"/>
              <w:rPr>
                <w:rFonts w:eastAsia="Times New Roman"/>
                <w:color w:val="FFFFFF"/>
                <w:lang w:eastAsia="el-GR"/>
              </w:rPr>
            </w:pPr>
            <w:r>
              <w:rPr>
                <w:rFonts w:eastAsia="Times New Roman"/>
                <w:b/>
                <w:bCs/>
                <w:color w:val="FFFFFF"/>
                <w:lang w:eastAsia="el-GR"/>
              </w:rPr>
              <w:t xml:space="preserve">FIGURES % </w:t>
            </w:r>
          </w:p>
        </w:tc>
      </w:tr>
      <w:tr w:rsidR="006D3752" w14:paraId="05902905" w14:textId="77777777" w:rsidTr="006D3752">
        <w:trPr>
          <w:trHeight w:val="147"/>
        </w:trPr>
        <w:tc>
          <w:tcPr>
            <w:tcW w:w="494" w:type="pct"/>
            <w:tcBorders>
              <w:top w:val="single" w:sz="2" w:space="0" w:color="9CC2E5"/>
              <w:left w:val="single" w:sz="2" w:space="0" w:color="9CC2E5"/>
              <w:bottom w:val="single" w:sz="2" w:space="0" w:color="9CC2E5"/>
              <w:right w:val="single" w:sz="2" w:space="0" w:color="9CC2E5"/>
            </w:tcBorders>
            <w:shd w:val="clear" w:color="auto" w:fill="DEEAF6"/>
            <w:hideMark/>
          </w:tcPr>
          <w:p w14:paraId="3172E901" w14:textId="77777777" w:rsidR="006D3752" w:rsidRDefault="006D3752">
            <w:pPr>
              <w:spacing w:after="63"/>
              <w:rPr>
                <w:rFonts w:eastAsia="Times New Roman"/>
                <w:b/>
                <w:bCs/>
                <w:lang w:eastAsia="el-GR"/>
              </w:rPr>
            </w:pPr>
            <w:r>
              <w:rPr>
                <w:rFonts w:eastAsia="Times New Roman"/>
                <w:b/>
                <w:bCs/>
                <w:lang w:eastAsia="el-GR"/>
              </w:rPr>
              <w:t xml:space="preserve">1 </w:t>
            </w:r>
          </w:p>
        </w:tc>
        <w:tc>
          <w:tcPr>
            <w:tcW w:w="3717" w:type="pct"/>
            <w:tcBorders>
              <w:top w:val="single" w:sz="2" w:space="0" w:color="9CC2E5"/>
              <w:left w:val="single" w:sz="2" w:space="0" w:color="9CC2E5"/>
              <w:bottom w:val="single" w:sz="2" w:space="0" w:color="9CC2E5"/>
              <w:right w:val="single" w:sz="2" w:space="0" w:color="9CC2E5"/>
            </w:tcBorders>
            <w:shd w:val="clear" w:color="auto" w:fill="DEEAF6"/>
            <w:hideMark/>
          </w:tcPr>
          <w:p w14:paraId="2061A91A" w14:textId="77777777" w:rsidR="006D3752" w:rsidRDefault="006D3752">
            <w:pPr>
              <w:spacing w:after="63"/>
              <w:ind w:left="-3" w:right="86" w:hanging="5"/>
              <w:rPr>
                <w:rFonts w:eastAsia="Times New Roman"/>
                <w:lang w:eastAsia="el-GR"/>
              </w:rPr>
            </w:pPr>
            <w:r>
              <w:rPr>
                <w:rFonts w:eastAsia="Times New Roman"/>
                <w:lang w:eastAsia="el-GR"/>
              </w:rPr>
              <w:t xml:space="preserve">Degree/diploma level  </w:t>
            </w:r>
          </w:p>
        </w:tc>
        <w:tc>
          <w:tcPr>
            <w:tcW w:w="789" w:type="pct"/>
            <w:tcBorders>
              <w:top w:val="single" w:sz="2" w:space="0" w:color="9CC2E5"/>
              <w:left w:val="single" w:sz="2" w:space="0" w:color="9CC2E5"/>
              <w:bottom w:val="single" w:sz="2" w:space="0" w:color="9CC2E5"/>
              <w:right w:val="single" w:sz="2" w:space="0" w:color="9CC2E5"/>
            </w:tcBorders>
            <w:shd w:val="clear" w:color="auto" w:fill="DEEAF6"/>
            <w:hideMark/>
          </w:tcPr>
          <w:p w14:paraId="5DA106D6" w14:textId="77777777" w:rsidR="006D3752" w:rsidRDefault="006D3752">
            <w:pPr>
              <w:spacing w:after="63"/>
              <w:rPr>
                <w:rFonts w:eastAsia="Times New Roman"/>
                <w:lang w:eastAsia="el-GR"/>
              </w:rPr>
            </w:pPr>
            <w:r>
              <w:rPr>
                <w:rFonts w:eastAsia="Times New Roman"/>
                <w:lang w:eastAsia="el-GR"/>
              </w:rPr>
              <w:t xml:space="preserve">20% </w:t>
            </w:r>
          </w:p>
        </w:tc>
      </w:tr>
      <w:tr w:rsidR="006D3752" w14:paraId="511CE6AC" w14:textId="77777777" w:rsidTr="006D3752">
        <w:trPr>
          <w:trHeight w:val="547"/>
        </w:trPr>
        <w:tc>
          <w:tcPr>
            <w:tcW w:w="494" w:type="pct"/>
            <w:tcBorders>
              <w:top w:val="single" w:sz="2" w:space="0" w:color="9CC2E5"/>
              <w:left w:val="single" w:sz="2" w:space="0" w:color="9CC2E5"/>
              <w:bottom w:val="single" w:sz="2" w:space="0" w:color="9CC2E5"/>
              <w:right w:val="single" w:sz="2" w:space="0" w:color="9CC2E5"/>
            </w:tcBorders>
            <w:tcMar>
              <w:top w:w="0" w:type="dxa"/>
              <w:left w:w="57" w:type="dxa"/>
              <w:bottom w:w="0" w:type="dxa"/>
              <w:right w:w="57" w:type="dxa"/>
            </w:tcMar>
            <w:hideMark/>
          </w:tcPr>
          <w:p w14:paraId="0682602A" w14:textId="77777777" w:rsidR="006D3752" w:rsidRDefault="006D3752">
            <w:pPr>
              <w:spacing w:after="63"/>
              <w:rPr>
                <w:rFonts w:eastAsia="Times New Roman"/>
                <w:b/>
                <w:bCs/>
                <w:lang w:eastAsia="el-GR"/>
              </w:rPr>
            </w:pPr>
            <w:r>
              <w:rPr>
                <w:rFonts w:eastAsia="Times New Roman"/>
                <w:b/>
                <w:bCs/>
                <w:lang w:eastAsia="el-GR"/>
              </w:rPr>
              <w:t xml:space="preserve">2 </w:t>
            </w:r>
          </w:p>
        </w:tc>
        <w:tc>
          <w:tcPr>
            <w:tcW w:w="3717" w:type="pct"/>
            <w:tcBorders>
              <w:top w:val="single" w:sz="2" w:space="0" w:color="9CC2E5"/>
              <w:left w:val="single" w:sz="2" w:space="0" w:color="9CC2E5"/>
              <w:bottom w:val="single" w:sz="2" w:space="0" w:color="9CC2E5"/>
              <w:right w:val="single" w:sz="2" w:space="0" w:color="9CC2E5"/>
            </w:tcBorders>
            <w:tcMar>
              <w:top w:w="0" w:type="dxa"/>
              <w:left w:w="57" w:type="dxa"/>
              <w:bottom w:w="0" w:type="dxa"/>
              <w:right w:w="57" w:type="dxa"/>
            </w:tcMar>
            <w:hideMark/>
          </w:tcPr>
          <w:p w14:paraId="52AFD957" w14:textId="17058E4D" w:rsidR="006D3752" w:rsidRDefault="00411BEC" w:rsidP="00411BEC">
            <w:pPr>
              <w:spacing w:after="63"/>
              <w:ind w:left="-3" w:right="86" w:hanging="5"/>
              <w:rPr>
                <w:rFonts w:eastAsia="Times New Roman"/>
                <w:lang w:val="en-US" w:eastAsia="el-GR"/>
              </w:rPr>
            </w:pPr>
            <w:r>
              <w:rPr>
                <w:rFonts w:eastAsia="Times New Roman"/>
                <w:lang w:val="en-US" w:eastAsia="el-GR"/>
              </w:rPr>
              <w:t xml:space="preserve">Level of </w:t>
            </w:r>
            <w:r w:rsidRPr="002B01C4">
              <w:rPr>
                <w:rFonts w:eastAsia="Times New Roman"/>
                <w:lang w:val="en-US" w:eastAsia="el-GR"/>
              </w:rPr>
              <w:t xml:space="preserve"> </w:t>
            </w:r>
            <w:r>
              <w:rPr>
                <w:rFonts w:eastAsia="Times New Roman"/>
                <w:lang w:val="en-US" w:eastAsia="el-GR"/>
              </w:rPr>
              <w:t xml:space="preserve">knowledge of </w:t>
            </w:r>
            <w:r>
              <w:rPr>
                <w:rFonts w:eastAsia="Times New Roman"/>
                <w:lang w:val="en-US" w:eastAsia="el-GR"/>
              </w:rPr>
              <w:tab/>
              <w:t xml:space="preserve">the </w:t>
            </w:r>
            <w:r w:rsidR="006D3752">
              <w:rPr>
                <w:rFonts w:eastAsia="Times New Roman"/>
                <w:lang w:val="en-US" w:eastAsia="el-GR"/>
              </w:rPr>
              <w:t>English</w:t>
            </w:r>
            <w:r w:rsidR="006D3752" w:rsidRPr="00411BEC">
              <w:rPr>
                <w:rFonts w:eastAsia="Times New Roman"/>
                <w:lang w:val="en-US" w:eastAsia="el-GR"/>
              </w:rPr>
              <w:t xml:space="preserve"> language</w:t>
            </w:r>
            <w:r w:rsidR="006D3752">
              <w:rPr>
                <w:rFonts w:eastAsia="Times New Roman"/>
                <w:b/>
                <w:lang w:val="en-US" w:eastAsia="el-GR"/>
              </w:rPr>
              <w:t xml:space="preserve"> </w:t>
            </w:r>
          </w:p>
          <w:p w14:paraId="3F31AD48" w14:textId="77777777" w:rsidR="006D3752" w:rsidRDefault="006D3752" w:rsidP="00411BEC">
            <w:pPr>
              <w:spacing w:after="63"/>
              <w:ind w:left="-3" w:right="86" w:hanging="5"/>
              <w:rPr>
                <w:rFonts w:eastAsia="Times New Roman"/>
                <w:lang w:eastAsia="el-GR"/>
              </w:rPr>
            </w:pPr>
            <w:r>
              <w:rPr>
                <w:rFonts w:eastAsia="Times New Roman"/>
                <w:lang w:eastAsia="el-GR"/>
              </w:rPr>
              <w:t xml:space="preserve">at least C1 level </w:t>
            </w:r>
          </w:p>
        </w:tc>
        <w:tc>
          <w:tcPr>
            <w:tcW w:w="789" w:type="pct"/>
            <w:tcBorders>
              <w:top w:val="single" w:sz="2" w:space="0" w:color="9CC2E5"/>
              <w:left w:val="single" w:sz="2" w:space="0" w:color="9CC2E5"/>
              <w:bottom w:val="single" w:sz="2" w:space="0" w:color="9CC2E5"/>
              <w:right w:val="single" w:sz="2" w:space="0" w:color="9CC2E5"/>
            </w:tcBorders>
            <w:tcMar>
              <w:top w:w="0" w:type="dxa"/>
              <w:left w:w="57" w:type="dxa"/>
              <w:bottom w:w="0" w:type="dxa"/>
              <w:right w:w="57" w:type="dxa"/>
            </w:tcMar>
            <w:hideMark/>
          </w:tcPr>
          <w:p w14:paraId="6FD1725A" w14:textId="77777777" w:rsidR="006D3752" w:rsidRDefault="006D3752">
            <w:pPr>
              <w:spacing w:after="63"/>
              <w:rPr>
                <w:rFonts w:eastAsia="Times New Roman"/>
                <w:lang w:eastAsia="el-GR"/>
              </w:rPr>
            </w:pPr>
            <w:r>
              <w:rPr>
                <w:rFonts w:eastAsia="Times New Roman"/>
                <w:lang w:eastAsia="el-GR"/>
              </w:rPr>
              <w:t xml:space="preserve">15% </w:t>
            </w:r>
          </w:p>
        </w:tc>
      </w:tr>
      <w:tr w:rsidR="006D3752" w14:paraId="2BCFD737" w14:textId="77777777" w:rsidTr="006D3752">
        <w:trPr>
          <w:trHeight w:val="289"/>
        </w:trPr>
        <w:tc>
          <w:tcPr>
            <w:tcW w:w="494" w:type="pct"/>
            <w:tcBorders>
              <w:top w:val="single" w:sz="2" w:space="0" w:color="9CC2E5"/>
              <w:left w:val="single" w:sz="2" w:space="0" w:color="9CC2E5"/>
              <w:bottom w:val="single" w:sz="2" w:space="0" w:color="9CC2E5"/>
              <w:right w:val="single" w:sz="2" w:space="0" w:color="9CC2E5"/>
            </w:tcBorders>
            <w:shd w:val="clear" w:color="auto" w:fill="DEEAF6"/>
            <w:hideMark/>
          </w:tcPr>
          <w:p w14:paraId="5CCA379D" w14:textId="77777777" w:rsidR="006D3752" w:rsidRDefault="006D3752">
            <w:pPr>
              <w:spacing w:after="63"/>
              <w:rPr>
                <w:rFonts w:eastAsia="Times New Roman"/>
                <w:b/>
                <w:bCs/>
                <w:lang w:eastAsia="el-GR"/>
              </w:rPr>
            </w:pPr>
            <w:r>
              <w:rPr>
                <w:rFonts w:eastAsia="Times New Roman"/>
                <w:b/>
                <w:bCs/>
                <w:lang w:eastAsia="el-GR"/>
              </w:rPr>
              <w:t xml:space="preserve">3 </w:t>
            </w:r>
          </w:p>
        </w:tc>
        <w:tc>
          <w:tcPr>
            <w:tcW w:w="3717" w:type="pct"/>
            <w:tcBorders>
              <w:top w:val="single" w:sz="2" w:space="0" w:color="9CC2E5"/>
              <w:left w:val="single" w:sz="2" w:space="0" w:color="9CC2E5"/>
              <w:bottom w:val="single" w:sz="2" w:space="0" w:color="9CC2E5"/>
              <w:right w:val="single" w:sz="2" w:space="0" w:color="9CC2E5"/>
            </w:tcBorders>
            <w:shd w:val="clear" w:color="auto" w:fill="DEEAF6"/>
            <w:hideMark/>
          </w:tcPr>
          <w:p w14:paraId="54C467C9" w14:textId="77777777" w:rsidR="006D3752" w:rsidRDefault="006D3752">
            <w:pPr>
              <w:spacing w:after="63"/>
              <w:ind w:left="-3" w:right="86" w:hanging="5"/>
              <w:rPr>
                <w:rFonts w:eastAsia="Times New Roman"/>
                <w:lang w:val="en-US" w:eastAsia="el-GR"/>
              </w:rPr>
            </w:pPr>
            <w:r>
              <w:rPr>
                <w:rFonts w:eastAsia="Times New Roman"/>
                <w:lang w:val="en-US" w:eastAsia="el-GR"/>
              </w:rPr>
              <w:t xml:space="preserve">Publications </w:t>
            </w:r>
            <w:r>
              <w:rPr>
                <w:rFonts w:eastAsia="Times New Roman"/>
                <w:lang w:val="en-US" w:eastAsia="el-GR"/>
              </w:rPr>
              <w:tab/>
              <w:t xml:space="preserve">in </w:t>
            </w:r>
            <w:r>
              <w:rPr>
                <w:rFonts w:eastAsia="Times New Roman"/>
                <w:lang w:val="en-US" w:eastAsia="el-GR"/>
              </w:rPr>
              <w:tab/>
              <w:t xml:space="preserve">scientific </w:t>
            </w:r>
            <w:r>
              <w:rPr>
                <w:rFonts w:eastAsia="Times New Roman"/>
                <w:lang w:val="en-US" w:eastAsia="el-GR"/>
              </w:rPr>
              <w:tab/>
              <w:t xml:space="preserve">journals, </w:t>
            </w:r>
          </w:p>
          <w:p w14:paraId="0DCE7D7D" w14:textId="77777777" w:rsidR="006D3752" w:rsidRDefault="006D3752">
            <w:pPr>
              <w:spacing w:after="63"/>
              <w:ind w:left="-3" w:right="86" w:hanging="5"/>
              <w:rPr>
                <w:rFonts w:eastAsia="Times New Roman"/>
                <w:lang w:val="en-US" w:eastAsia="el-GR"/>
              </w:rPr>
            </w:pPr>
            <w:r>
              <w:rPr>
                <w:rFonts w:eastAsia="Times New Roman"/>
                <w:lang w:val="en-US" w:eastAsia="el-GR"/>
              </w:rPr>
              <w:t>Presentations at scientific conferences (optional)</w:t>
            </w:r>
          </w:p>
        </w:tc>
        <w:tc>
          <w:tcPr>
            <w:tcW w:w="789" w:type="pct"/>
            <w:tcBorders>
              <w:top w:val="single" w:sz="2" w:space="0" w:color="9CC2E5"/>
              <w:left w:val="single" w:sz="2" w:space="0" w:color="9CC2E5"/>
              <w:bottom w:val="single" w:sz="2" w:space="0" w:color="9CC2E5"/>
              <w:right w:val="single" w:sz="2" w:space="0" w:color="9CC2E5"/>
            </w:tcBorders>
            <w:shd w:val="clear" w:color="auto" w:fill="DEEAF6"/>
            <w:hideMark/>
          </w:tcPr>
          <w:p w14:paraId="45B0D45D" w14:textId="77777777" w:rsidR="006D3752" w:rsidRDefault="006D3752">
            <w:pPr>
              <w:spacing w:after="63"/>
              <w:rPr>
                <w:rFonts w:eastAsia="Times New Roman"/>
                <w:lang w:eastAsia="el-GR"/>
              </w:rPr>
            </w:pPr>
            <w:r>
              <w:rPr>
                <w:rFonts w:eastAsia="Times New Roman"/>
                <w:lang w:eastAsia="el-GR"/>
              </w:rPr>
              <w:t xml:space="preserve">15% </w:t>
            </w:r>
          </w:p>
        </w:tc>
      </w:tr>
      <w:tr w:rsidR="006D3752" w14:paraId="55223D8E" w14:textId="77777777" w:rsidTr="006D3752">
        <w:trPr>
          <w:trHeight w:val="278"/>
        </w:trPr>
        <w:tc>
          <w:tcPr>
            <w:tcW w:w="494" w:type="pct"/>
            <w:tcBorders>
              <w:top w:val="single" w:sz="2" w:space="0" w:color="9CC2E5"/>
              <w:left w:val="single" w:sz="2" w:space="0" w:color="9CC2E5"/>
              <w:bottom w:val="single" w:sz="2" w:space="0" w:color="9CC2E5"/>
              <w:right w:val="single" w:sz="2" w:space="0" w:color="9CC2E5"/>
            </w:tcBorders>
            <w:tcMar>
              <w:top w:w="0" w:type="dxa"/>
              <w:left w:w="57" w:type="dxa"/>
              <w:bottom w:w="0" w:type="dxa"/>
              <w:right w:w="57" w:type="dxa"/>
            </w:tcMar>
            <w:hideMark/>
          </w:tcPr>
          <w:p w14:paraId="5F80343E" w14:textId="77777777" w:rsidR="006D3752" w:rsidRDefault="006D3752">
            <w:pPr>
              <w:spacing w:after="63"/>
              <w:rPr>
                <w:rFonts w:eastAsia="Times New Roman"/>
                <w:b/>
                <w:bCs/>
                <w:lang w:eastAsia="el-GR"/>
              </w:rPr>
            </w:pPr>
            <w:r>
              <w:rPr>
                <w:rFonts w:eastAsia="Times New Roman"/>
                <w:b/>
                <w:bCs/>
                <w:lang w:eastAsia="el-GR"/>
              </w:rPr>
              <w:t>4</w:t>
            </w:r>
          </w:p>
        </w:tc>
        <w:tc>
          <w:tcPr>
            <w:tcW w:w="3717" w:type="pct"/>
            <w:tcBorders>
              <w:top w:val="single" w:sz="2" w:space="0" w:color="9CC2E5"/>
              <w:left w:val="single" w:sz="2" w:space="0" w:color="9CC2E5"/>
              <w:bottom w:val="single" w:sz="2" w:space="0" w:color="9CC2E5"/>
              <w:right w:val="single" w:sz="2" w:space="0" w:color="9CC2E5"/>
            </w:tcBorders>
            <w:tcMar>
              <w:top w:w="0" w:type="dxa"/>
              <w:left w:w="57" w:type="dxa"/>
              <w:bottom w:w="0" w:type="dxa"/>
              <w:right w:w="57" w:type="dxa"/>
            </w:tcMar>
            <w:hideMark/>
          </w:tcPr>
          <w:p w14:paraId="54611181" w14:textId="77777777" w:rsidR="006D3752" w:rsidRDefault="006D3752">
            <w:pPr>
              <w:spacing w:after="63"/>
              <w:ind w:left="-3" w:right="86" w:hanging="5"/>
              <w:rPr>
                <w:rFonts w:eastAsia="Times New Roman"/>
                <w:lang w:eastAsia="el-GR"/>
              </w:rPr>
            </w:pPr>
            <w:r>
              <w:rPr>
                <w:rFonts w:eastAsia="Times New Roman"/>
                <w:lang w:eastAsia="el-GR"/>
              </w:rPr>
              <w:t>Relevant professional experience (optional)</w:t>
            </w:r>
          </w:p>
        </w:tc>
        <w:tc>
          <w:tcPr>
            <w:tcW w:w="789" w:type="pct"/>
            <w:tcBorders>
              <w:top w:val="single" w:sz="2" w:space="0" w:color="9CC2E5"/>
              <w:left w:val="single" w:sz="2" w:space="0" w:color="9CC2E5"/>
              <w:bottom w:val="single" w:sz="2" w:space="0" w:color="9CC2E5"/>
              <w:right w:val="single" w:sz="2" w:space="0" w:color="9CC2E5"/>
            </w:tcBorders>
            <w:tcMar>
              <w:top w:w="0" w:type="dxa"/>
              <w:left w:w="57" w:type="dxa"/>
              <w:bottom w:w="0" w:type="dxa"/>
              <w:right w:w="57" w:type="dxa"/>
            </w:tcMar>
            <w:hideMark/>
          </w:tcPr>
          <w:p w14:paraId="2AE959AE" w14:textId="77777777" w:rsidR="006D3752" w:rsidRDefault="006D3752">
            <w:pPr>
              <w:spacing w:after="63"/>
              <w:rPr>
                <w:rFonts w:eastAsia="Times New Roman"/>
                <w:lang w:eastAsia="el-GR"/>
              </w:rPr>
            </w:pPr>
            <w:r>
              <w:rPr>
                <w:rFonts w:eastAsia="Times New Roman"/>
                <w:lang w:eastAsia="el-GR"/>
              </w:rPr>
              <w:t xml:space="preserve">15% </w:t>
            </w:r>
          </w:p>
        </w:tc>
      </w:tr>
      <w:tr w:rsidR="006D3752" w14:paraId="5C4CFC2C" w14:textId="77777777" w:rsidTr="006D3752">
        <w:trPr>
          <w:trHeight w:val="147"/>
        </w:trPr>
        <w:tc>
          <w:tcPr>
            <w:tcW w:w="494" w:type="pct"/>
            <w:tcBorders>
              <w:top w:val="single" w:sz="2" w:space="0" w:color="9CC2E5"/>
              <w:left w:val="single" w:sz="2" w:space="0" w:color="9CC2E5"/>
              <w:bottom w:val="single" w:sz="2" w:space="0" w:color="9CC2E5"/>
              <w:right w:val="single" w:sz="2" w:space="0" w:color="9CC2E5"/>
            </w:tcBorders>
            <w:shd w:val="clear" w:color="auto" w:fill="DEEAF6"/>
            <w:hideMark/>
          </w:tcPr>
          <w:p w14:paraId="1DA04628" w14:textId="77777777" w:rsidR="006D3752" w:rsidRDefault="006D3752">
            <w:pPr>
              <w:spacing w:after="63"/>
              <w:rPr>
                <w:rFonts w:eastAsia="Times New Roman"/>
                <w:b/>
                <w:bCs/>
                <w:lang w:eastAsia="el-GR"/>
              </w:rPr>
            </w:pPr>
            <w:r>
              <w:rPr>
                <w:rFonts w:eastAsia="Times New Roman"/>
                <w:b/>
                <w:bCs/>
                <w:lang w:eastAsia="el-GR"/>
              </w:rPr>
              <w:t>5</w:t>
            </w:r>
          </w:p>
        </w:tc>
        <w:tc>
          <w:tcPr>
            <w:tcW w:w="3717" w:type="pct"/>
            <w:tcBorders>
              <w:top w:val="single" w:sz="2" w:space="0" w:color="9CC2E5"/>
              <w:left w:val="single" w:sz="2" w:space="0" w:color="9CC2E5"/>
              <w:bottom w:val="single" w:sz="2" w:space="0" w:color="9CC2E5"/>
              <w:right w:val="single" w:sz="2" w:space="0" w:color="9CC2E5"/>
            </w:tcBorders>
            <w:shd w:val="clear" w:color="auto" w:fill="DEEAF6"/>
            <w:hideMark/>
          </w:tcPr>
          <w:p w14:paraId="28B030A5" w14:textId="77777777" w:rsidR="006D3752" w:rsidRDefault="006D3752">
            <w:pPr>
              <w:spacing w:after="63"/>
              <w:ind w:left="-3" w:right="86" w:hanging="5"/>
              <w:rPr>
                <w:rFonts w:eastAsia="Times New Roman"/>
                <w:lang w:eastAsia="el-GR"/>
              </w:rPr>
            </w:pPr>
            <w:r>
              <w:rPr>
                <w:rFonts w:eastAsia="Times New Roman"/>
                <w:lang w:eastAsia="el-GR"/>
              </w:rPr>
              <w:t>Letters of recommendation (optional)</w:t>
            </w:r>
          </w:p>
        </w:tc>
        <w:tc>
          <w:tcPr>
            <w:tcW w:w="789" w:type="pct"/>
            <w:tcBorders>
              <w:top w:val="single" w:sz="2" w:space="0" w:color="9CC2E5"/>
              <w:left w:val="single" w:sz="2" w:space="0" w:color="9CC2E5"/>
              <w:bottom w:val="single" w:sz="2" w:space="0" w:color="9CC2E5"/>
              <w:right w:val="single" w:sz="2" w:space="0" w:color="9CC2E5"/>
            </w:tcBorders>
            <w:shd w:val="clear" w:color="auto" w:fill="DEEAF6"/>
            <w:hideMark/>
          </w:tcPr>
          <w:p w14:paraId="0A46E1B1" w14:textId="77777777" w:rsidR="006D3752" w:rsidRDefault="006D3752">
            <w:pPr>
              <w:spacing w:after="63"/>
              <w:rPr>
                <w:rFonts w:eastAsia="Times New Roman"/>
                <w:lang w:eastAsia="el-GR"/>
              </w:rPr>
            </w:pPr>
            <w:r>
              <w:rPr>
                <w:rFonts w:eastAsia="Times New Roman"/>
                <w:lang w:eastAsia="el-GR"/>
              </w:rPr>
              <w:t xml:space="preserve">10% </w:t>
            </w:r>
          </w:p>
        </w:tc>
      </w:tr>
      <w:tr w:rsidR="006D3752" w14:paraId="34106ABB" w14:textId="77777777" w:rsidTr="006D3752">
        <w:trPr>
          <w:trHeight w:val="279"/>
        </w:trPr>
        <w:tc>
          <w:tcPr>
            <w:tcW w:w="494" w:type="pct"/>
            <w:tcBorders>
              <w:top w:val="single" w:sz="2" w:space="0" w:color="9CC2E5"/>
              <w:left w:val="single" w:sz="2" w:space="0" w:color="9CC2E5"/>
              <w:bottom w:val="single" w:sz="2" w:space="0" w:color="9CC2E5"/>
              <w:right w:val="single" w:sz="2" w:space="0" w:color="9CC2E5"/>
            </w:tcBorders>
            <w:tcMar>
              <w:top w:w="0" w:type="dxa"/>
              <w:left w:w="57" w:type="dxa"/>
              <w:bottom w:w="0" w:type="dxa"/>
              <w:right w:w="57" w:type="dxa"/>
            </w:tcMar>
            <w:hideMark/>
          </w:tcPr>
          <w:p w14:paraId="1072F8A8" w14:textId="77777777" w:rsidR="006D3752" w:rsidRDefault="006D3752">
            <w:pPr>
              <w:spacing w:after="63"/>
              <w:rPr>
                <w:rFonts w:eastAsia="Times New Roman"/>
                <w:b/>
                <w:bCs/>
                <w:lang w:eastAsia="el-GR"/>
              </w:rPr>
            </w:pPr>
            <w:r>
              <w:rPr>
                <w:rFonts w:eastAsia="Times New Roman"/>
                <w:b/>
                <w:bCs/>
                <w:lang w:eastAsia="el-GR"/>
              </w:rPr>
              <w:t xml:space="preserve">6 </w:t>
            </w:r>
          </w:p>
        </w:tc>
        <w:tc>
          <w:tcPr>
            <w:tcW w:w="3717" w:type="pct"/>
            <w:tcBorders>
              <w:top w:val="single" w:sz="2" w:space="0" w:color="9CC2E5"/>
              <w:left w:val="single" w:sz="2" w:space="0" w:color="9CC2E5"/>
              <w:bottom w:val="single" w:sz="2" w:space="0" w:color="9CC2E5"/>
              <w:right w:val="single" w:sz="2" w:space="0" w:color="9CC2E5"/>
            </w:tcBorders>
            <w:tcMar>
              <w:top w:w="0" w:type="dxa"/>
              <w:left w:w="57" w:type="dxa"/>
              <w:bottom w:w="0" w:type="dxa"/>
              <w:right w:w="57" w:type="dxa"/>
            </w:tcMar>
            <w:hideMark/>
          </w:tcPr>
          <w:p w14:paraId="25BA0240" w14:textId="77777777" w:rsidR="006D3752" w:rsidRDefault="006D3752">
            <w:pPr>
              <w:spacing w:after="63"/>
              <w:ind w:left="-3" w:right="86" w:hanging="5"/>
              <w:rPr>
                <w:rFonts w:eastAsia="Times New Roman"/>
                <w:lang w:eastAsia="el-GR"/>
              </w:rPr>
            </w:pPr>
            <w:r>
              <w:rPr>
                <w:rFonts w:eastAsia="Times New Roman"/>
                <w:lang w:eastAsia="el-GR"/>
              </w:rPr>
              <w:t xml:space="preserve">Interview </w:t>
            </w:r>
          </w:p>
        </w:tc>
        <w:tc>
          <w:tcPr>
            <w:tcW w:w="789" w:type="pct"/>
            <w:tcBorders>
              <w:top w:val="single" w:sz="2" w:space="0" w:color="9CC2E5"/>
              <w:left w:val="single" w:sz="2" w:space="0" w:color="9CC2E5"/>
              <w:bottom w:val="single" w:sz="2" w:space="0" w:color="9CC2E5"/>
              <w:right w:val="single" w:sz="2" w:space="0" w:color="9CC2E5"/>
            </w:tcBorders>
            <w:tcMar>
              <w:top w:w="0" w:type="dxa"/>
              <w:left w:w="57" w:type="dxa"/>
              <w:bottom w:w="0" w:type="dxa"/>
              <w:right w:w="57" w:type="dxa"/>
            </w:tcMar>
            <w:hideMark/>
          </w:tcPr>
          <w:p w14:paraId="6BF51415" w14:textId="77777777" w:rsidR="006D3752" w:rsidRDefault="006D3752">
            <w:pPr>
              <w:spacing w:after="63"/>
              <w:rPr>
                <w:rFonts w:eastAsia="Times New Roman"/>
                <w:lang w:eastAsia="el-GR"/>
              </w:rPr>
            </w:pPr>
            <w:r>
              <w:rPr>
                <w:rFonts w:eastAsia="Times New Roman"/>
                <w:lang w:eastAsia="el-GR"/>
              </w:rPr>
              <w:t xml:space="preserve">25% </w:t>
            </w:r>
          </w:p>
        </w:tc>
      </w:tr>
      <w:tr w:rsidR="006D3752" w14:paraId="2C4B90F7" w14:textId="77777777" w:rsidTr="006D3752">
        <w:trPr>
          <w:trHeight w:val="147"/>
        </w:trPr>
        <w:tc>
          <w:tcPr>
            <w:tcW w:w="494" w:type="pct"/>
            <w:tcBorders>
              <w:top w:val="single" w:sz="2" w:space="0" w:color="9CC2E5"/>
              <w:left w:val="single" w:sz="2" w:space="0" w:color="9CC2E5"/>
              <w:bottom w:val="single" w:sz="2" w:space="0" w:color="9CC2E5"/>
              <w:right w:val="single" w:sz="2" w:space="0" w:color="9CC2E5"/>
            </w:tcBorders>
            <w:shd w:val="clear" w:color="auto" w:fill="DEEAF6"/>
            <w:hideMark/>
          </w:tcPr>
          <w:p w14:paraId="74DB6092" w14:textId="77777777" w:rsidR="006D3752" w:rsidRDefault="006D3752">
            <w:pPr>
              <w:spacing w:after="63"/>
              <w:rPr>
                <w:rFonts w:eastAsia="Times New Roman" w:cs="Calibri"/>
                <w:b/>
                <w:bCs/>
                <w:lang w:eastAsia="el-GR"/>
              </w:rPr>
            </w:pPr>
            <w:r>
              <w:rPr>
                <w:rFonts w:eastAsia="Times New Roman" w:cs="Calibri"/>
                <w:b/>
                <w:bCs/>
                <w:lang w:eastAsia="el-GR"/>
              </w:rPr>
              <w:t xml:space="preserve"> </w:t>
            </w:r>
          </w:p>
        </w:tc>
        <w:tc>
          <w:tcPr>
            <w:tcW w:w="3717" w:type="pct"/>
            <w:tcBorders>
              <w:top w:val="single" w:sz="2" w:space="0" w:color="9CC2E5"/>
              <w:left w:val="single" w:sz="2" w:space="0" w:color="9CC2E5"/>
              <w:bottom w:val="single" w:sz="2" w:space="0" w:color="9CC2E5"/>
              <w:right w:val="single" w:sz="2" w:space="0" w:color="9CC2E5"/>
            </w:tcBorders>
            <w:shd w:val="clear" w:color="auto" w:fill="DEEAF6"/>
            <w:hideMark/>
          </w:tcPr>
          <w:p w14:paraId="1F14BCAC" w14:textId="77777777" w:rsidR="006D3752" w:rsidRDefault="006D3752">
            <w:pPr>
              <w:spacing w:after="63"/>
              <w:ind w:left="-3" w:right="86" w:hanging="5"/>
              <w:jc w:val="right"/>
              <w:rPr>
                <w:rFonts w:eastAsia="Times New Roman" w:cs="Calibri"/>
                <w:b/>
                <w:bCs/>
                <w:lang w:eastAsia="el-GR"/>
              </w:rPr>
            </w:pPr>
            <w:r>
              <w:rPr>
                <w:rFonts w:eastAsia="Times New Roman" w:cs="Calibri"/>
                <w:b/>
                <w:bCs/>
                <w:lang w:eastAsia="el-GR"/>
              </w:rPr>
              <w:t xml:space="preserve">TOTAL </w:t>
            </w:r>
          </w:p>
        </w:tc>
        <w:tc>
          <w:tcPr>
            <w:tcW w:w="789" w:type="pct"/>
            <w:tcBorders>
              <w:top w:val="single" w:sz="2" w:space="0" w:color="9CC2E5"/>
              <w:left w:val="single" w:sz="2" w:space="0" w:color="9CC2E5"/>
              <w:bottom w:val="single" w:sz="2" w:space="0" w:color="9CC2E5"/>
              <w:right w:val="single" w:sz="2" w:space="0" w:color="9CC2E5"/>
            </w:tcBorders>
            <w:shd w:val="clear" w:color="auto" w:fill="DEEAF6"/>
            <w:hideMark/>
          </w:tcPr>
          <w:p w14:paraId="7996E13B" w14:textId="77777777" w:rsidR="006D3752" w:rsidRDefault="006D3752">
            <w:pPr>
              <w:spacing w:after="63"/>
              <w:rPr>
                <w:rFonts w:eastAsia="Times New Roman" w:cs="Calibri"/>
                <w:lang w:eastAsia="el-GR"/>
              </w:rPr>
            </w:pPr>
            <w:r>
              <w:rPr>
                <w:rFonts w:eastAsia="Times New Roman" w:cs="Calibri"/>
                <w:lang w:eastAsia="el-GR"/>
              </w:rPr>
              <w:t xml:space="preserve">100% </w:t>
            </w:r>
          </w:p>
        </w:tc>
      </w:tr>
    </w:tbl>
    <w:p w14:paraId="6A05295F" w14:textId="77777777" w:rsidR="006D3752" w:rsidRDefault="006D3752" w:rsidP="006D3752">
      <w:pPr>
        <w:spacing w:after="120"/>
        <w:rPr>
          <w:rFonts w:ascii="Calibri" w:eastAsia="Calibri" w:hAnsi="Calibri" w:cs="Calibri"/>
        </w:rPr>
      </w:pPr>
    </w:p>
    <w:p w14:paraId="631112F4" w14:textId="77777777" w:rsidR="006D3752" w:rsidRDefault="006D3752" w:rsidP="006D3752">
      <w:pPr>
        <w:spacing w:after="120"/>
        <w:rPr>
          <w:rFonts w:cs="Calibri"/>
          <w:lang w:val="en-US"/>
        </w:rPr>
      </w:pPr>
      <w:r>
        <w:rPr>
          <w:rFonts w:cs="Calibri"/>
          <w:lang w:val="en-US"/>
        </w:rPr>
        <w:lastRenderedPageBreak/>
        <w:t xml:space="preserve">The weightings of the above-mentioned criteria for the evaluation of candidates may be varied by a decision of the selection board, which will be taken before the publication of the call for applications and will be included in the new version of the notice. </w:t>
      </w:r>
    </w:p>
    <w:p w14:paraId="2110F4A2" w14:textId="77777777" w:rsidR="006D3752" w:rsidRDefault="006D3752" w:rsidP="006D3752">
      <w:pPr>
        <w:spacing w:after="120"/>
        <w:rPr>
          <w:rFonts w:cs="Calibri"/>
          <w:lang w:val="en-US"/>
        </w:rPr>
      </w:pPr>
      <w:r>
        <w:rPr>
          <w:rFonts w:cs="Calibri"/>
          <w:lang w:val="en-US"/>
        </w:rPr>
        <w:t xml:space="preserve">The selection board will invite to an interview those candidates who meet the formal and substantive requirements within a period of time to be determined by the notice. </w:t>
      </w:r>
    </w:p>
    <w:p w14:paraId="2285A419" w14:textId="19F26599" w:rsidR="006D3752" w:rsidRDefault="006D3752" w:rsidP="006D3752">
      <w:pPr>
        <w:spacing w:after="120"/>
        <w:rPr>
          <w:rFonts w:cs="Calibri"/>
          <w:lang w:val="en-US"/>
        </w:rPr>
      </w:pPr>
      <w:r>
        <w:rPr>
          <w:rFonts w:cs="Calibri"/>
          <w:lang w:val="en-US"/>
        </w:rPr>
        <w:t xml:space="preserve">The selection process of the candidates is </w:t>
      </w:r>
      <w:r w:rsidRPr="00905505">
        <w:rPr>
          <w:rFonts w:cs="Calibri"/>
          <w:lang w:val="en-US"/>
        </w:rPr>
        <w:t xml:space="preserve">carried out by the </w:t>
      </w:r>
      <w:r w:rsidR="00847A1C" w:rsidRPr="00905505">
        <w:rPr>
          <w:rFonts w:cs="Calibri"/>
          <w:lang w:val="en-US"/>
        </w:rPr>
        <w:t>SC</w:t>
      </w:r>
      <w:r w:rsidRPr="00905505">
        <w:rPr>
          <w:rFonts w:cs="Calibri"/>
          <w:lang w:val="en-US"/>
        </w:rPr>
        <w:t>. of the</w:t>
      </w:r>
      <w:r>
        <w:rPr>
          <w:rFonts w:cs="Calibri"/>
          <w:lang w:val="en-US"/>
        </w:rPr>
        <w:t xml:space="preserve"> </w:t>
      </w:r>
      <w:r w:rsidR="00542CB3">
        <w:rPr>
          <w:rFonts w:cs="Calibri"/>
          <w:lang w:val="en-US"/>
        </w:rPr>
        <w:t>PSP</w:t>
      </w:r>
      <w:r>
        <w:rPr>
          <w:rFonts w:cs="Calibri"/>
          <w:lang w:val="en-US"/>
        </w:rPr>
        <w:t xml:space="preserve">, which proceeds:  </w:t>
      </w:r>
    </w:p>
    <w:p w14:paraId="7BF5243A" w14:textId="77777777" w:rsidR="006D3752" w:rsidRDefault="006D3752" w:rsidP="00FB6783">
      <w:pPr>
        <w:pStyle w:val="af1"/>
        <w:numPr>
          <w:ilvl w:val="0"/>
          <w:numId w:val="23"/>
        </w:numPr>
        <w:spacing w:after="120" w:line="254" w:lineRule="auto"/>
        <w:ind w:right="166"/>
        <w:rPr>
          <w:rFonts w:ascii="Calibri" w:hAnsi="Calibri" w:cs="Calibri"/>
          <w:sz w:val="22"/>
          <w:szCs w:val="22"/>
          <w:lang w:val="en-US"/>
        </w:rPr>
      </w:pPr>
      <w:r>
        <w:rPr>
          <w:rFonts w:ascii="Calibri" w:hAnsi="Calibri" w:cs="Calibri"/>
          <w:sz w:val="22"/>
          <w:szCs w:val="22"/>
          <w:lang w:val="en-US"/>
        </w:rPr>
        <w:t xml:space="preserve">checking and evaluating all the supporting documents submitted, </w:t>
      </w:r>
    </w:p>
    <w:p w14:paraId="067BBA69" w14:textId="77777777" w:rsidR="006D3752" w:rsidRDefault="006D3752" w:rsidP="00FB6783">
      <w:pPr>
        <w:pStyle w:val="af1"/>
        <w:numPr>
          <w:ilvl w:val="0"/>
          <w:numId w:val="23"/>
        </w:numPr>
        <w:spacing w:after="120" w:line="254" w:lineRule="auto"/>
        <w:ind w:right="166"/>
        <w:rPr>
          <w:rFonts w:ascii="Calibri" w:hAnsi="Calibri" w:cs="Calibri"/>
          <w:sz w:val="22"/>
          <w:szCs w:val="22"/>
          <w:lang w:val="en-US"/>
        </w:rPr>
      </w:pPr>
      <w:r>
        <w:rPr>
          <w:rFonts w:ascii="Calibri" w:hAnsi="Calibri" w:cs="Calibri"/>
          <w:sz w:val="22"/>
          <w:szCs w:val="22"/>
          <w:lang w:val="en-US"/>
        </w:rPr>
        <w:t xml:space="preserve">the verification of the relevance of the degree to the subject matter of the MSc, </w:t>
      </w:r>
    </w:p>
    <w:p w14:paraId="53AB1301" w14:textId="77777777" w:rsidR="006D3752" w:rsidRDefault="006D3752" w:rsidP="00FB6783">
      <w:pPr>
        <w:pStyle w:val="af1"/>
        <w:numPr>
          <w:ilvl w:val="0"/>
          <w:numId w:val="23"/>
        </w:numPr>
        <w:spacing w:after="120" w:line="254" w:lineRule="auto"/>
        <w:ind w:right="166"/>
        <w:rPr>
          <w:rFonts w:ascii="Calibri" w:hAnsi="Calibri" w:cs="Calibri"/>
          <w:sz w:val="22"/>
          <w:szCs w:val="22"/>
        </w:rPr>
      </w:pPr>
      <w:r>
        <w:rPr>
          <w:rFonts w:ascii="Calibri" w:hAnsi="Calibri" w:cs="Calibri"/>
          <w:sz w:val="22"/>
          <w:szCs w:val="22"/>
        </w:rPr>
        <w:t xml:space="preserve">the language proficiency test, </w:t>
      </w:r>
    </w:p>
    <w:p w14:paraId="6504E46E" w14:textId="77777777" w:rsidR="006D3752" w:rsidRDefault="006D3752" w:rsidP="00FB6783">
      <w:pPr>
        <w:pStyle w:val="af1"/>
        <w:numPr>
          <w:ilvl w:val="0"/>
          <w:numId w:val="23"/>
        </w:numPr>
        <w:spacing w:after="120" w:line="254" w:lineRule="auto"/>
        <w:ind w:right="166"/>
        <w:rPr>
          <w:rFonts w:ascii="Calibri" w:hAnsi="Calibri" w:cs="Calibri"/>
          <w:sz w:val="22"/>
          <w:szCs w:val="22"/>
          <w:lang w:val="en-US"/>
        </w:rPr>
      </w:pPr>
      <w:r>
        <w:rPr>
          <w:rFonts w:ascii="Calibri" w:hAnsi="Calibri" w:cs="Calibri"/>
          <w:sz w:val="22"/>
          <w:szCs w:val="22"/>
          <w:lang w:val="en-US"/>
        </w:rPr>
        <w:t xml:space="preserve">inviting and interviewing all candidates, </w:t>
      </w:r>
    </w:p>
    <w:p w14:paraId="07BC2C5A" w14:textId="77777777" w:rsidR="006D3752" w:rsidRDefault="006D3752" w:rsidP="00FB6783">
      <w:pPr>
        <w:pStyle w:val="af1"/>
        <w:numPr>
          <w:ilvl w:val="0"/>
          <w:numId w:val="23"/>
        </w:numPr>
        <w:spacing w:after="120" w:line="254" w:lineRule="auto"/>
        <w:ind w:right="166"/>
        <w:rPr>
          <w:rFonts w:ascii="Calibri" w:hAnsi="Calibri" w:cs="Calibri"/>
          <w:sz w:val="22"/>
          <w:szCs w:val="22"/>
          <w:lang w:val="en-US"/>
        </w:rPr>
      </w:pPr>
      <w:r>
        <w:rPr>
          <w:rFonts w:ascii="Calibri" w:hAnsi="Calibri" w:cs="Calibri"/>
          <w:sz w:val="22"/>
          <w:szCs w:val="22"/>
          <w:lang w:val="en-US"/>
        </w:rPr>
        <w:t xml:space="preserve">drawing up an alphabetical list of candidates, </w:t>
      </w:r>
    </w:p>
    <w:p w14:paraId="58FE2ABF" w14:textId="77777777" w:rsidR="006D3752" w:rsidRDefault="006D3752" w:rsidP="00FB6783">
      <w:pPr>
        <w:pStyle w:val="af1"/>
        <w:numPr>
          <w:ilvl w:val="0"/>
          <w:numId w:val="23"/>
        </w:numPr>
        <w:spacing w:after="120" w:line="254" w:lineRule="auto"/>
        <w:ind w:right="166"/>
        <w:rPr>
          <w:rFonts w:ascii="Calibri" w:hAnsi="Calibri" w:cs="Calibri"/>
          <w:sz w:val="22"/>
          <w:szCs w:val="22"/>
          <w:lang w:val="en-US"/>
        </w:rPr>
      </w:pPr>
      <w:r>
        <w:rPr>
          <w:rFonts w:ascii="Calibri" w:hAnsi="Calibri" w:cs="Calibri"/>
          <w:sz w:val="22"/>
          <w:szCs w:val="22"/>
          <w:lang w:val="en-US"/>
        </w:rPr>
        <w:t xml:space="preserve">drawing up an alphabetical list of the marks obtained by each candidate, </w:t>
      </w:r>
    </w:p>
    <w:p w14:paraId="29BAC81D" w14:textId="77777777" w:rsidR="006D3752" w:rsidRDefault="006D3752" w:rsidP="00FB6783">
      <w:pPr>
        <w:pStyle w:val="af1"/>
        <w:numPr>
          <w:ilvl w:val="0"/>
          <w:numId w:val="23"/>
        </w:numPr>
        <w:spacing w:after="120" w:line="254" w:lineRule="auto"/>
        <w:ind w:right="166"/>
        <w:rPr>
          <w:rFonts w:ascii="Calibri" w:hAnsi="Calibri" w:cs="Calibri"/>
          <w:sz w:val="22"/>
          <w:szCs w:val="22"/>
          <w:lang w:val="en-US"/>
        </w:rPr>
      </w:pPr>
      <w:r>
        <w:rPr>
          <w:rFonts w:ascii="Calibri" w:hAnsi="Calibri" w:cs="Calibri"/>
          <w:sz w:val="22"/>
          <w:szCs w:val="22"/>
          <w:lang w:val="en-US"/>
        </w:rPr>
        <w:t xml:space="preserve">drawing up the reserve list, in descending order, on the basis of the number of points obtained by each candidate and the list of successful candidates. </w:t>
      </w:r>
    </w:p>
    <w:p w14:paraId="7D9BDB7F" w14:textId="77777777" w:rsidR="006D3752" w:rsidRDefault="006D3752" w:rsidP="006D3752">
      <w:pPr>
        <w:spacing w:after="120"/>
        <w:ind w:right="166"/>
        <w:rPr>
          <w:rFonts w:ascii="Calibri" w:hAnsi="Calibri" w:cs="Calibri"/>
          <w:lang w:val="en-US"/>
        </w:rPr>
      </w:pPr>
      <w:r>
        <w:rPr>
          <w:rFonts w:cs="Calibri"/>
          <w:lang w:val="en-US"/>
        </w:rPr>
        <w:t>The table shall be validated by the HPS.</w:t>
      </w:r>
    </w:p>
    <w:p w14:paraId="5F40849B" w14:textId="671205BE" w:rsidR="006D3752" w:rsidRDefault="006D3752" w:rsidP="006D3752">
      <w:pPr>
        <w:spacing w:after="120"/>
        <w:rPr>
          <w:rFonts w:cs="Calibri"/>
          <w:lang w:val="en-US"/>
        </w:rPr>
      </w:pPr>
      <w:r>
        <w:rPr>
          <w:rFonts w:cs="Calibri"/>
          <w:lang w:val="en-US"/>
        </w:rPr>
        <w:t xml:space="preserve">After the completion of the procedure and the validation of the lists of successful candidates, the Secretariat of the </w:t>
      </w:r>
      <w:r w:rsidR="00542CB3">
        <w:rPr>
          <w:rFonts w:cs="Calibri"/>
          <w:lang w:val="en-US"/>
        </w:rPr>
        <w:t>PSP</w:t>
      </w:r>
      <w:r>
        <w:rPr>
          <w:rFonts w:cs="Calibri"/>
          <w:lang w:val="en-US"/>
        </w:rPr>
        <w:t xml:space="preserve"> undertakes to inform all candidates.  </w:t>
      </w:r>
    </w:p>
    <w:p w14:paraId="492C16AF" w14:textId="77777777" w:rsidR="006D3752" w:rsidRDefault="006D3752" w:rsidP="006D3752">
      <w:pPr>
        <w:spacing w:after="120"/>
        <w:rPr>
          <w:rFonts w:cs="Times New Roman"/>
          <w:color w:val="000000"/>
          <w:lang w:val="en-US"/>
        </w:rPr>
      </w:pPr>
      <w:r>
        <w:rPr>
          <w:b/>
          <w:color w:val="000000"/>
          <w:lang w:val="en-US"/>
        </w:rPr>
        <w:t xml:space="preserve">4.6 </w:t>
      </w:r>
      <w:r>
        <w:rPr>
          <w:color w:val="000000"/>
          <w:lang w:val="en-US"/>
        </w:rPr>
        <w:t>Based on the overall criteria, the HPS prepares and approves the evaluation list of the students. In case of a tie, all tied students are admitted as supernumeraries.</w:t>
      </w:r>
    </w:p>
    <w:p w14:paraId="3B6F1263" w14:textId="77777777" w:rsidR="006D3752" w:rsidRDefault="006D3752" w:rsidP="006D3752">
      <w:pPr>
        <w:spacing w:after="120"/>
        <w:rPr>
          <w:rFonts w:cs="Calibri"/>
          <w:lang w:val="en-US"/>
        </w:rPr>
      </w:pPr>
      <w:r>
        <w:rPr>
          <w:b/>
          <w:color w:val="000000"/>
          <w:lang w:val="en-US"/>
        </w:rPr>
        <w:t xml:space="preserve">4.7. </w:t>
      </w:r>
      <w:r>
        <w:rPr>
          <w:rFonts w:cs="Calibri"/>
          <w:lang w:val="en-US"/>
        </w:rPr>
        <w:t xml:space="preserve">Successful applicants are invited to accept within 5 days (calendar days) to join the Programme.  </w:t>
      </w:r>
    </w:p>
    <w:p w14:paraId="2F213F80" w14:textId="77777777" w:rsidR="006D3752" w:rsidRDefault="006D3752" w:rsidP="006D3752">
      <w:pPr>
        <w:spacing w:after="120"/>
        <w:rPr>
          <w:rFonts w:cs="Times New Roman"/>
          <w:color w:val="000000"/>
          <w:lang w:val="en-US"/>
        </w:rPr>
      </w:pPr>
      <w:r>
        <w:rPr>
          <w:rFonts w:cs="Calibri"/>
          <w:lang w:val="en-US"/>
        </w:rPr>
        <w:t xml:space="preserve">Failure by a selected candidate to respond in time within the deadline set will be tantamount to withdrawal of his/her candidature. If there are resignations, the Secretariat shall inform the candidates who are next in the order of preference from the relevant list. </w:t>
      </w:r>
      <w:r>
        <w:rPr>
          <w:color w:val="000000"/>
          <w:lang w:val="en-US"/>
        </w:rPr>
        <w:t xml:space="preserve">Successful candidates will be required to pay at the time of registration for the first semester and to send proof of payment. The following is the registration at the MSc Secretariat. </w:t>
      </w:r>
    </w:p>
    <w:p w14:paraId="298DDBAE" w14:textId="77777777" w:rsidR="006D3752" w:rsidRDefault="006D3752" w:rsidP="006D3752">
      <w:pPr>
        <w:spacing w:after="120"/>
        <w:rPr>
          <w:color w:val="000000"/>
          <w:lang w:val="en-US"/>
        </w:rPr>
      </w:pPr>
      <w:r>
        <w:rPr>
          <w:b/>
          <w:color w:val="000000"/>
          <w:lang w:val="en-US"/>
        </w:rPr>
        <w:t xml:space="preserve">4.8. The </w:t>
      </w:r>
      <w:r>
        <w:rPr>
          <w:color w:val="000000"/>
          <w:lang w:val="en-US"/>
        </w:rPr>
        <w:t>registration of successful candidates who have a degree from a foreign institution is completed only upon presentation of a certified copy of their degree (by any legal means).</w:t>
      </w:r>
    </w:p>
    <w:p w14:paraId="4231754E" w14:textId="77777777" w:rsidR="006D3752" w:rsidRDefault="006D3752" w:rsidP="006D3752">
      <w:pPr>
        <w:spacing w:after="120"/>
        <w:rPr>
          <w:color w:val="000000"/>
          <w:lang w:val="en-US"/>
        </w:rPr>
      </w:pPr>
    </w:p>
    <w:p w14:paraId="7E6E1C08" w14:textId="77777777" w:rsidR="006D3752" w:rsidRDefault="006D3752" w:rsidP="006D3752">
      <w:pPr>
        <w:pStyle w:val="2"/>
        <w:spacing w:before="0" w:after="120" w:line="254" w:lineRule="auto"/>
        <w:rPr>
          <w:color w:val="2E74B5"/>
          <w:sz w:val="26"/>
          <w:lang w:val="en-US"/>
        </w:rPr>
      </w:pPr>
      <w:bookmarkStart w:id="11" w:name="_Toc197974933"/>
      <w:bookmarkStart w:id="12" w:name="_Toc197974974"/>
      <w:r w:rsidRPr="006D3752">
        <w:rPr>
          <w:rStyle w:val="normalchar1"/>
          <w:sz w:val="26"/>
          <w:lang w:val="en-US"/>
        </w:rPr>
        <w:t>ARTICLE 5. DURATION OF STUDY</w:t>
      </w:r>
      <w:bookmarkEnd w:id="11"/>
      <w:bookmarkEnd w:id="12"/>
    </w:p>
    <w:p w14:paraId="613651EB" w14:textId="77777777" w:rsidR="006D3752" w:rsidRDefault="006D3752" w:rsidP="006D3752">
      <w:pPr>
        <w:spacing w:after="120"/>
        <w:rPr>
          <w:rFonts w:cs="Calibri"/>
          <w:color w:val="000000"/>
          <w:lang w:val="en-US" w:eastAsia="el-GR"/>
        </w:rPr>
      </w:pPr>
      <w:r>
        <w:rPr>
          <w:b/>
          <w:lang w:val="en-US" w:eastAsia="ko-KR"/>
        </w:rPr>
        <w:t xml:space="preserve">5.1 </w:t>
      </w:r>
      <w:r>
        <w:rPr>
          <w:lang w:val="en-US" w:eastAsia="ko-KR"/>
        </w:rPr>
        <w:t xml:space="preserve">The duration of study in the MSc leading to the award of the Diploma of Postgraduate Studies is defined as three (3) semesters of full-time study, of </w:t>
      </w:r>
      <w:r>
        <w:rPr>
          <w:rFonts w:cs="Calibri"/>
          <w:color w:val="000000"/>
          <w:lang w:val="en-US" w:eastAsia="el-GR"/>
        </w:rPr>
        <w:t>which the last semester is allocated for the preparation of the thesis.</w:t>
      </w:r>
    </w:p>
    <w:p w14:paraId="7BF19DAD" w14:textId="219EB7CB" w:rsidR="006D3752" w:rsidRDefault="006D3752" w:rsidP="006D3752">
      <w:pPr>
        <w:spacing w:after="120"/>
        <w:rPr>
          <w:rFonts w:cs="Times New Roman"/>
          <w:lang w:val="en-US" w:eastAsia="ko-KR"/>
        </w:rPr>
      </w:pPr>
      <w:r>
        <w:rPr>
          <w:b/>
          <w:lang w:val="en-US" w:eastAsia="ko-KR"/>
        </w:rPr>
        <w:t xml:space="preserve">5.2 </w:t>
      </w:r>
      <w:r>
        <w:rPr>
          <w:lang w:val="en-US" w:eastAsia="ko-KR"/>
        </w:rPr>
        <w:t xml:space="preserve">There is the possibility of extending the period of study for up to two (2) academic semesters, following a reasoned request by the student and approval by the Assembly. For the full-time programme, the minimum duration for the award of the MSc is set at three (3) academic semesters and the maximum at five (5) academic semesters. </w:t>
      </w:r>
    </w:p>
    <w:p w14:paraId="7F3AF8F8" w14:textId="77777777" w:rsidR="006D3752" w:rsidRDefault="006D3752" w:rsidP="006D3752">
      <w:pPr>
        <w:spacing w:after="120"/>
        <w:rPr>
          <w:i/>
          <w:lang w:val="en-US"/>
        </w:rPr>
      </w:pPr>
      <w:r>
        <w:rPr>
          <w:b/>
          <w:i/>
          <w:lang w:val="en-US"/>
        </w:rPr>
        <w:t>5</w:t>
      </w:r>
      <w:r>
        <w:rPr>
          <w:b/>
          <w:lang w:val="en-US"/>
        </w:rPr>
        <w:t>.</w:t>
      </w:r>
      <w:r>
        <w:rPr>
          <w:b/>
          <w:i/>
          <w:lang w:val="en-US"/>
        </w:rPr>
        <w:t xml:space="preserve">3 </w:t>
      </w:r>
      <w:r>
        <w:rPr>
          <w:lang w:val="en-US"/>
        </w:rPr>
        <w:t xml:space="preserve">Students who have not exceeded the maximum limit of attendance, after a reasoned request to the </w:t>
      </w:r>
      <w:r>
        <w:rPr>
          <w:rFonts w:cs="Calibri"/>
          <w:lang w:val="en-US"/>
        </w:rPr>
        <w:t>HPS</w:t>
      </w:r>
      <w:r>
        <w:rPr>
          <w:lang w:val="en-US"/>
        </w:rPr>
        <w:t xml:space="preserve">, may interrupt their studies for a period not exceeding two consecutive semesters. Suspension of </w:t>
      </w:r>
      <w:r>
        <w:rPr>
          <w:i/>
          <w:lang w:val="en-US"/>
        </w:rPr>
        <w:t>studies</w:t>
      </w:r>
      <w:r>
        <w:rPr>
          <w:lang w:val="en-US"/>
        </w:rPr>
        <w:t xml:space="preserve"> shall be granted for serious professional, family, personal or health reasons. </w:t>
      </w:r>
    </w:p>
    <w:p w14:paraId="08D742B9" w14:textId="63C401C7" w:rsidR="006D3752" w:rsidRDefault="006D3752" w:rsidP="00847A1C">
      <w:pPr>
        <w:spacing w:after="120"/>
        <w:rPr>
          <w:lang w:val="en-US"/>
        </w:rPr>
      </w:pPr>
      <w:r>
        <w:rPr>
          <w:lang w:val="en-US"/>
        </w:rPr>
        <w:t xml:space="preserve"> During the period of suspension, the student's student status is revoked and all his/her rights are suspended. Student status is automatically restored after the end of the suspension. The period of suspension shall not count towards the maximum period of study.  </w:t>
      </w:r>
    </w:p>
    <w:p w14:paraId="45277AB0" w14:textId="77777777" w:rsidR="006D3752" w:rsidRPr="006D3752" w:rsidRDefault="006D3752" w:rsidP="006D3752">
      <w:pPr>
        <w:pStyle w:val="2"/>
        <w:spacing w:before="0" w:after="120" w:line="254" w:lineRule="auto"/>
        <w:rPr>
          <w:rStyle w:val="normalchar1"/>
          <w:rFonts w:ascii="Calibri" w:hAnsi="Calibri"/>
          <w:sz w:val="26"/>
          <w:lang w:val="en-US"/>
        </w:rPr>
      </w:pPr>
      <w:bookmarkStart w:id="13" w:name="_Toc197974934"/>
      <w:bookmarkStart w:id="14" w:name="_Toc197974975"/>
      <w:r w:rsidRPr="006D3752">
        <w:rPr>
          <w:rStyle w:val="normalchar1"/>
          <w:sz w:val="26"/>
          <w:lang w:val="en-US"/>
        </w:rPr>
        <w:lastRenderedPageBreak/>
        <w:t>ARTICLE 6. CURRICULUM</w:t>
      </w:r>
      <w:bookmarkEnd w:id="13"/>
      <w:bookmarkEnd w:id="14"/>
    </w:p>
    <w:p w14:paraId="169A96B8" w14:textId="77777777" w:rsidR="006D3752" w:rsidRPr="006D3752" w:rsidRDefault="006D3752" w:rsidP="006D3752">
      <w:pPr>
        <w:spacing w:after="120"/>
        <w:rPr>
          <w:rFonts w:eastAsia="Calibri"/>
          <w:lang w:val="en-US" w:eastAsia="ko-KR"/>
        </w:rPr>
      </w:pPr>
      <w:r>
        <w:rPr>
          <w:b/>
          <w:lang w:val="en-US" w:eastAsia="ko-KR"/>
        </w:rPr>
        <w:t xml:space="preserve">6.1 </w:t>
      </w:r>
      <w:r>
        <w:rPr>
          <w:lang w:val="en-US" w:eastAsia="ko-KR"/>
        </w:rPr>
        <w:t>The MSc begins in the winter semester of each academic year.</w:t>
      </w:r>
    </w:p>
    <w:p w14:paraId="4394D015" w14:textId="149A7283" w:rsidR="006D3752" w:rsidRDefault="006D3752" w:rsidP="006D3752">
      <w:pPr>
        <w:rPr>
          <w:rFonts w:cs="Calibri"/>
          <w:color w:val="000000"/>
          <w:lang w:val="en-US" w:eastAsia="el-GR"/>
        </w:rPr>
      </w:pPr>
      <w:r>
        <w:rPr>
          <w:b/>
          <w:lang w:val="en-US" w:eastAsia="ko-KR"/>
        </w:rPr>
        <w:t xml:space="preserve">6.2. A </w:t>
      </w:r>
      <w:r>
        <w:rPr>
          <w:lang w:val="en-US" w:eastAsia="ko-KR"/>
        </w:rPr>
        <w:t xml:space="preserve">total of 90 credits (ECTS) are required for the award of the Diploma of Postgraduate Studies. </w:t>
      </w:r>
      <w:r>
        <w:rPr>
          <w:rFonts w:cs="Calibri"/>
          <w:color w:val="000000"/>
          <w:lang w:val="en-US" w:eastAsia="el-GR"/>
        </w:rPr>
        <w:t xml:space="preserve">The compulsory attendance and successful completion of </w:t>
      </w:r>
      <w:r w:rsidR="00652F1F">
        <w:rPr>
          <w:rFonts w:cs="Calibri"/>
          <w:color w:val="000000"/>
          <w:lang w:val="en-US" w:eastAsia="el-GR"/>
        </w:rPr>
        <w:t>8</w:t>
      </w:r>
      <w:r>
        <w:rPr>
          <w:rFonts w:cs="Calibri"/>
          <w:color w:val="000000"/>
          <w:lang w:val="en-US" w:eastAsia="el-GR"/>
        </w:rPr>
        <w:t xml:space="preserve"> courses, which are divided into two semesters (A and B) and the preparation of the Postgraduate Diploma Thesis in the third semester. </w:t>
      </w:r>
    </w:p>
    <w:p w14:paraId="3EFF9B28" w14:textId="53BA3D77" w:rsidR="006D3752" w:rsidRDefault="006D3752" w:rsidP="006D3752">
      <w:pPr>
        <w:rPr>
          <w:rFonts w:cs="Calibri Light"/>
          <w:szCs w:val="24"/>
          <w:lang w:val="en-US"/>
        </w:rPr>
      </w:pPr>
      <w:r>
        <w:rPr>
          <w:rFonts w:cs="Calibri Light"/>
          <w:szCs w:val="24"/>
          <w:lang w:val="en-US"/>
        </w:rPr>
        <w:t>A total</w:t>
      </w:r>
      <w:r w:rsidR="00652F1F">
        <w:rPr>
          <w:rFonts w:cs="Calibri Light"/>
          <w:szCs w:val="24"/>
          <w:lang w:val="en-US"/>
        </w:rPr>
        <w:t xml:space="preserve"> of</w:t>
      </w:r>
      <w:r>
        <w:rPr>
          <w:rFonts w:cs="Calibri Light"/>
          <w:szCs w:val="24"/>
          <w:lang w:val="en-US"/>
        </w:rPr>
        <w:t xml:space="preserve"> </w:t>
      </w:r>
      <w:r w:rsidR="00652F1F" w:rsidRPr="00652F1F">
        <w:rPr>
          <w:rFonts w:cs="Calibri Light"/>
          <w:szCs w:val="24"/>
          <w:lang w:val="en-US"/>
        </w:rPr>
        <w:t>compulsory courses</w:t>
      </w:r>
      <w:r>
        <w:rPr>
          <w:rFonts w:cs="Calibri Light"/>
          <w:szCs w:val="24"/>
          <w:lang w:val="en-US"/>
        </w:rPr>
        <w:t xml:space="preserve"> are offered</w:t>
      </w:r>
      <w:r w:rsidR="00652F1F">
        <w:rPr>
          <w:rFonts w:cs="Calibri Light"/>
          <w:szCs w:val="24"/>
          <w:lang w:val="en-US"/>
        </w:rPr>
        <w:t xml:space="preserve"> in the 1st and 2nd semester</w:t>
      </w:r>
      <w:r>
        <w:rPr>
          <w:rFonts w:cs="Calibri Light"/>
          <w:szCs w:val="24"/>
          <w:lang w:val="en-US"/>
        </w:rPr>
        <w:t xml:space="preserve">. </w:t>
      </w:r>
    </w:p>
    <w:p w14:paraId="0ED8510A" w14:textId="77777777" w:rsidR="006D3752" w:rsidRDefault="006D3752" w:rsidP="006D3752">
      <w:pPr>
        <w:spacing w:after="120"/>
        <w:rPr>
          <w:rFonts w:cs="Times New Roman"/>
          <w:lang w:val="en-US" w:eastAsia="ko-KR"/>
        </w:rPr>
      </w:pPr>
      <w:r>
        <w:rPr>
          <w:b/>
          <w:lang w:val="en-US" w:eastAsia="ko-KR"/>
        </w:rPr>
        <w:t xml:space="preserve">6.3 </w:t>
      </w:r>
      <w:r>
        <w:rPr>
          <w:lang w:val="en-US" w:eastAsia="ko-KR"/>
        </w:rPr>
        <w:t>The language of teaching and writing of the thesis is English.</w:t>
      </w:r>
    </w:p>
    <w:p w14:paraId="1BA9A8A7" w14:textId="26A07BB0" w:rsidR="006D3752" w:rsidRDefault="006D3752" w:rsidP="006D3752">
      <w:pPr>
        <w:spacing w:after="120"/>
        <w:rPr>
          <w:lang w:val="en-US" w:eastAsia="ko-KR"/>
        </w:rPr>
      </w:pPr>
      <w:r>
        <w:rPr>
          <w:b/>
          <w:lang w:val="en-US" w:eastAsia="ko-KR"/>
        </w:rPr>
        <w:t xml:space="preserve">6.4 </w:t>
      </w:r>
      <w:r>
        <w:rPr>
          <w:lang w:val="en-US" w:eastAsia="ko-KR"/>
        </w:rPr>
        <w:t xml:space="preserve">During their studies, postgraduate students are required </w:t>
      </w:r>
      <w:r>
        <w:rPr>
          <w:lang w:val="en-US"/>
        </w:rPr>
        <w:t>to att</w:t>
      </w:r>
      <w:r w:rsidR="00F26DFA">
        <w:rPr>
          <w:lang w:val="en-US"/>
        </w:rPr>
        <w:t>end and successfully complete 8</w:t>
      </w:r>
      <w:r>
        <w:rPr>
          <w:lang w:val="en-US"/>
        </w:rPr>
        <w:t xml:space="preserve"> postgraduate courses, participate in all educational and research activities and prepare and successfully complete a postgraduate thesis.</w:t>
      </w:r>
    </w:p>
    <w:p w14:paraId="56B7D519" w14:textId="77777777" w:rsidR="006D3752" w:rsidRDefault="006D3752" w:rsidP="006D3752">
      <w:pPr>
        <w:spacing w:after="120"/>
        <w:rPr>
          <w:lang w:val="en-US" w:eastAsia="ko-KR"/>
        </w:rPr>
      </w:pPr>
      <w:r>
        <w:rPr>
          <w:b/>
          <w:lang w:val="en-US" w:eastAsia="ko-KR"/>
        </w:rPr>
        <w:t xml:space="preserve">6.5. </w:t>
      </w:r>
      <w:r>
        <w:rPr>
          <w:lang w:val="en-US" w:eastAsia="ko-KR"/>
        </w:rPr>
        <w:t>Courses are taught at a distance, in accordance with the legislation in force and as defined in Article 7 of these Regulations.</w:t>
      </w:r>
    </w:p>
    <w:p w14:paraId="65771664" w14:textId="38713943" w:rsidR="006D3752" w:rsidRDefault="006D3752" w:rsidP="006D3752">
      <w:pPr>
        <w:spacing w:after="120"/>
        <w:rPr>
          <w:rFonts w:eastAsia="Times New Roman"/>
          <w:color w:val="000000"/>
          <w:lang w:val="en-US"/>
        </w:rPr>
      </w:pPr>
      <w:r>
        <w:rPr>
          <w:b/>
          <w:lang w:val="en-US" w:eastAsia="ko-KR"/>
        </w:rPr>
        <w:t xml:space="preserve">6.6 </w:t>
      </w:r>
      <w:r>
        <w:rPr>
          <w:lang w:val="en-US" w:eastAsia="ko-KR"/>
        </w:rPr>
        <w:t xml:space="preserve">The indicative </w:t>
      </w:r>
      <w:r>
        <w:rPr>
          <w:rFonts w:eastAsia="Times New Roman"/>
          <w:color w:val="000000"/>
          <w:lang w:val="en-US"/>
        </w:rPr>
        <w:t>course programme per semester is as follows:</w:t>
      </w:r>
    </w:p>
    <w:p w14:paraId="40775B09" w14:textId="77777777" w:rsidR="00905505" w:rsidRPr="00014F23" w:rsidRDefault="00905505" w:rsidP="00905505">
      <w:pPr>
        <w:spacing w:after="0"/>
        <w:ind w:left="-6" w:right="164" w:hanging="11"/>
        <w:rPr>
          <w:rFonts w:ascii="Calibri" w:eastAsia="Calibri" w:hAnsi="Calibri" w:cs="Calibri"/>
          <w:b/>
          <w:bCs/>
          <w:color w:val="000000"/>
        </w:rPr>
      </w:pPr>
      <w:r>
        <w:rPr>
          <w:rFonts w:ascii="Calibri" w:eastAsia="Calibri" w:hAnsi="Calibri" w:cs="Calibri"/>
          <w:b/>
          <w:bCs/>
          <w:color w:val="000000"/>
          <w:u w:color="000000"/>
        </w:rPr>
        <w:t>First Semester</w:t>
      </w:r>
    </w:p>
    <w:tbl>
      <w:tblPr>
        <w:tblStyle w:val="4-121"/>
        <w:tblW w:w="9101" w:type="dxa"/>
        <w:tblInd w:w="-34" w:type="dxa"/>
        <w:tblLayout w:type="fixed"/>
        <w:tblLook w:val="04A0" w:firstRow="1" w:lastRow="0" w:firstColumn="1" w:lastColumn="0" w:noHBand="0" w:noVBand="1"/>
      </w:tblPr>
      <w:tblGrid>
        <w:gridCol w:w="710"/>
        <w:gridCol w:w="1304"/>
        <w:gridCol w:w="1276"/>
        <w:gridCol w:w="4819"/>
        <w:gridCol w:w="992"/>
      </w:tblGrid>
      <w:tr w:rsidR="00905505" w:rsidRPr="00AA5300" w14:paraId="706BAB26" w14:textId="77777777" w:rsidTr="00891DFE">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710" w:type="dxa"/>
          </w:tcPr>
          <w:p w14:paraId="3DEC2C4E" w14:textId="77777777" w:rsidR="00905505" w:rsidRPr="00AA5300" w:rsidRDefault="00905505" w:rsidP="00891DFE">
            <w:pPr>
              <w:spacing w:line="276" w:lineRule="auto"/>
              <w:ind w:left="-6" w:right="164" w:hanging="11"/>
              <w:rPr>
                <w:rFonts w:ascii="Calibri" w:eastAsia="Calibri" w:hAnsi="Calibri" w:cs="Calibri"/>
                <w:color w:val="000000"/>
                <w:sz w:val="20"/>
                <w:szCs w:val="20"/>
                <w:lang w:eastAsia="en-US"/>
              </w:rPr>
            </w:pPr>
          </w:p>
        </w:tc>
        <w:tc>
          <w:tcPr>
            <w:tcW w:w="1304" w:type="dxa"/>
          </w:tcPr>
          <w:p w14:paraId="286C837B" w14:textId="77777777" w:rsidR="00905505" w:rsidRPr="00AA5300" w:rsidRDefault="00905505" w:rsidP="00891DFE">
            <w:pPr>
              <w:spacing w:line="276" w:lineRule="auto"/>
              <w:ind w:left="-6" w:right="164" w:hanging="11"/>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CODE</w:t>
            </w:r>
          </w:p>
        </w:tc>
        <w:tc>
          <w:tcPr>
            <w:tcW w:w="1276" w:type="dxa"/>
          </w:tcPr>
          <w:p w14:paraId="65FCC2AC" w14:textId="20012334" w:rsidR="00905505" w:rsidRPr="00AA5300" w:rsidRDefault="00905505" w:rsidP="00FF2F01">
            <w:pPr>
              <w:spacing w:line="276" w:lineRule="auto"/>
              <w:ind w:left="-6" w:right="164" w:hanging="11"/>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TYPE (Core/</w:t>
            </w:r>
          </w:p>
        </w:tc>
        <w:tc>
          <w:tcPr>
            <w:tcW w:w="4819" w:type="dxa"/>
          </w:tcPr>
          <w:p w14:paraId="2CC53B25" w14:textId="77777777" w:rsidR="00905505" w:rsidRPr="00014F23" w:rsidRDefault="00905505" w:rsidP="00891DFE">
            <w:pPr>
              <w:spacing w:line="276" w:lineRule="auto"/>
              <w:ind w:left="-6" w:right="164" w:hanging="11"/>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COURSES</w:t>
            </w:r>
          </w:p>
        </w:tc>
        <w:tc>
          <w:tcPr>
            <w:tcW w:w="992" w:type="dxa"/>
          </w:tcPr>
          <w:p w14:paraId="257ABB2E" w14:textId="77777777" w:rsidR="00905505" w:rsidRPr="00AA5300" w:rsidRDefault="00905505" w:rsidP="00891DFE">
            <w:pPr>
              <w:spacing w:line="276" w:lineRule="auto"/>
              <w:ind w:left="-6" w:right="164" w:hanging="11"/>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 xml:space="preserve">ECTS </w:t>
            </w:r>
          </w:p>
        </w:tc>
      </w:tr>
      <w:tr w:rsidR="00905505" w:rsidRPr="00AA5300" w14:paraId="57908516" w14:textId="77777777" w:rsidTr="00891DF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710" w:type="dxa"/>
          </w:tcPr>
          <w:p w14:paraId="6D91D008" w14:textId="77777777" w:rsidR="00905505" w:rsidRPr="00AA5300" w:rsidRDefault="00905505" w:rsidP="00891DFE">
            <w:pPr>
              <w:spacing w:after="160" w:line="276" w:lineRule="auto"/>
              <w:ind w:left="-5" w:right="166" w:hanging="1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1</w:t>
            </w:r>
          </w:p>
        </w:tc>
        <w:tc>
          <w:tcPr>
            <w:tcW w:w="1304" w:type="dxa"/>
          </w:tcPr>
          <w:p w14:paraId="0DE6AD3C"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M01</w:t>
            </w:r>
          </w:p>
        </w:tc>
        <w:tc>
          <w:tcPr>
            <w:tcW w:w="1276" w:type="dxa"/>
          </w:tcPr>
          <w:p w14:paraId="659080AE"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4819" w:type="dxa"/>
          </w:tcPr>
          <w:p w14:paraId="73A581A7"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Government in the Digital Age</w:t>
            </w:r>
          </w:p>
        </w:tc>
        <w:tc>
          <w:tcPr>
            <w:tcW w:w="992" w:type="dxa"/>
          </w:tcPr>
          <w:p w14:paraId="2F6BD9D5"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05505" w:rsidRPr="00AA5300" w14:paraId="607BEC28" w14:textId="77777777" w:rsidTr="00891DFE">
        <w:trPr>
          <w:trHeight w:val="504"/>
        </w:trPr>
        <w:tc>
          <w:tcPr>
            <w:cnfStyle w:val="001000000000" w:firstRow="0" w:lastRow="0" w:firstColumn="1" w:lastColumn="0" w:oddVBand="0" w:evenVBand="0" w:oddHBand="0" w:evenHBand="0" w:firstRowFirstColumn="0" w:firstRowLastColumn="0" w:lastRowFirstColumn="0" w:lastRowLastColumn="0"/>
            <w:tcW w:w="710" w:type="dxa"/>
          </w:tcPr>
          <w:p w14:paraId="5E4E8C7C" w14:textId="77777777" w:rsidR="00905505" w:rsidRPr="00AA5300" w:rsidRDefault="00905505" w:rsidP="00891DFE">
            <w:pPr>
              <w:spacing w:after="160" w:line="276" w:lineRule="auto"/>
              <w:ind w:left="-5" w:right="166" w:hanging="1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2</w:t>
            </w:r>
          </w:p>
        </w:tc>
        <w:tc>
          <w:tcPr>
            <w:tcW w:w="1304" w:type="dxa"/>
          </w:tcPr>
          <w:p w14:paraId="067055AE"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M02</w:t>
            </w:r>
          </w:p>
        </w:tc>
        <w:tc>
          <w:tcPr>
            <w:tcW w:w="1276" w:type="dxa"/>
          </w:tcPr>
          <w:p w14:paraId="1E93A584"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4819" w:type="dxa"/>
          </w:tcPr>
          <w:p w14:paraId="2141805D"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val="en-US" w:eastAsia="en-US"/>
              </w:rPr>
              <w:t>Information systems in Government</w:t>
            </w:r>
          </w:p>
        </w:tc>
        <w:tc>
          <w:tcPr>
            <w:tcW w:w="992" w:type="dxa"/>
          </w:tcPr>
          <w:p w14:paraId="68E6273B"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05505" w:rsidRPr="00AA5300" w14:paraId="60718BF9" w14:textId="77777777" w:rsidTr="00891DF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10" w:type="dxa"/>
          </w:tcPr>
          <w:p w14:paraId="0D1F9FB0" w14:textId="77777777" w:rsidR="00905505" w:rsidRPr="00AA5300" w:rsidRDefault="00905505" w:rsidP="00891DFE">
            <w:pPr>
              <w:spacing w:after="160" w:line="276" w:lineRule="auto"/>
              <w:ind w:left="-5" w:right="166" w:hanging="1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3</w:t>
            </w:r>
          </w:p>
        </w:tc>
        <w:tc>
          <w:tcPr>
            <w:tcW w:w="1304" w:type="dxa"/>
          </w:tcPr>
          <w:p w14:paraId="113DDEA9"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M03</w:t>
            </w:r>
          </w:p>
        </w:tc>
        <w:tc>
          <w:tcPr>
            <w:tcW w:w="1276" w:type="dxa"/>
          </w:tcPr>
          <w:p w14:paraId="0D93A3F5"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4819" w:type="dxa"/>
          </w:tcPr>
          <w:p w14:paraId="7405A812"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Data-centric Governance</w:t>
            </w:r>
          </w:p>
        </w:tc>
        <w:tc>
          <w:tcPr>
            <w:tcW w:w="992" w:type="dxa"/>
          </w:tcPr>
          <w:p w14:paraId="180DB1FA"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05505" w:rsidRPr="00AA5300" w14:paraId="07FCE981" w14:textId="77777777" w:rsidTr="00891DFE">
        <w:trPr>
          <w:trHeight w:val="520"/>
        </w:trPr>
        <w:tc>
          <w:tcPr>
            <w:cnfStyle w:val="001000000000" w:firstRow="0" w:lastRow="0" w:firstColumn="1" w:lastColumn="0" w:oddVBand="0" w:evenVBand="0" w:oddHBand="0" w:evenHBand="0" w:firstRowFirstColumn="0" w:firstRowLastColumn="0" w:lastRowFirstColumn="0" w:lastRowLastColumn="0"/>
            <w:tcW w:w="710" w:type="dxa"/>
          </w:tcPr>
          <w:p w14:paraId="7F13CC95" w14:textId="77777777" w:rsidR="00905505" w:rsidRPr="00AA5300" w:rsidRDefault="00905505" w:rsidP="00891DFE">
            <w:pPr>
              <w:spacing w:after="160" w:line="276" w:lineRule="auto"/>
              <w:ind w:left="-5" w:right="166" w:hanging="1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4</w:t>
            </w:r>
          </w:p>
        </w:tc>
        <w:tc>
          <w:tcPr>
            <w:tcW w:w="1304" w:type="dxa"/>
          </w:tcPr>
          <w:p w14:paraId="359C7D5F"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M04</w:t>
            </w:r>
          </w:p>
        </w:tc>
        <w:tc>
          <w:tcPr>
            <w:tcW w:w="1276" w:type="dxa"/>
          </w:tcPr>
          <w:p w14:paraId="4F82681F"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4819" w:type="dxa"/>
          </w:tcPr>
          <w:p w14:paraId="58E15975"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Public sector innovation and Strategy</w:t>
            </w:r>
          </w:p>
        </w:tc>
        <w:tc>
          <w:tcPr>
            <w:tcW w:w="992" w:type="dxa"/>
          </w:tcPr>
          <w:p w14:paraId="5831C26E"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05505" w:rsidRPr="00AA5300" w14:paraId="4DABE827" w14:textId="77777777" w:rsidTr="00891DF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8109" w:type="dxa"/>
            <w:gridSpan w:val="4"/>
          </w:tcPr>
          <w:p w14:paraId="0C96B0CA" w14:textId="77777777" w:rsidR="00905505" w:rsidRPr="00AA5300" w:rsidRDefault="00905505" w:rsidP="00891DFE">
            <w:pPr>
              <w:spacing w:after="160" w:line="276" w:lineRule="auto"/>
              <w:ind w:left="-5" w:right="166" w:hanging="10"/>
              <w:jc w:val="right"/>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Total</w:t>
            </w:r>
            <w:r w:rsidRPr="00AA5300">
              <w:rPr>
                <w:rFonts w:ascii="Calibri" w:eastAsia="Calibri" w:hAnsi="Calibri" w:cs="Calibri"/>
                <w:color w:val="000000"/>
                <w:sz w:val="20"/>
                <w:szCs w:val="20"/>
                <w:lang w:eastAsia="en-US"/>
              </w:rPr>
              <w:t xml:space="preserve"> ECTS </w:t>
            </w:r>
          </w:p>
        </w:tc>
        <w:tc>
          <w:tcPr>
            <w:tcW w:w="992" w:type="dxa"/>
          </w:tcPr>
          <w:p w14:paraId="0C08EE55"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 xml:space="preserve">30 </w:t>
            </w:r>
          </w:p>
        </w:tc>
      </w:tr>
    </w:tbl>
    <w:p w14:paraId="56F5FFA0" w14:textId="77777777" w:rsidR="00905505" w:rsidRDefault="00905505" w:rsidP="00905505">
      <w:pPr>
        <w:spacing w:after="0"/>
        <w:ind w:left="-6" w:right="164" w:hanging="11"/>
        <w:rPr>
          <w:rFonts w:ascii="Calibri" w:eastAsia="Calibri" w:hAnsi="Calibri" w:cs="Calibri"/>
          <w:b/>
          <w:bCs/>
          <w:color w:val="000000"/>
          <w:u w:color="000000"/>
        </w:rPr>
      </w:pPr>
    </w:p>
    <w:p w14:paraId="365C86B3" w14:textId="77777777" w:rsidR="00905505" w:rsidRPr="00014F23" w:rsidRDefault="00905505" w:rsidP="00905505">
      <w:pPr>
        <w:spacing w:after="0"/>
        <w:ind w:left="-6" w:right="164" w:hanging="11"/>
        <w:rPr>
          <w:rFonts w:ascii="Calibri" w:eastAsia="Calibri" w:hAnsi="Calibri" w:cs="Calibri"/>
          <w:b/>
          <w:bCs/>
          <w:color w:val="000000"/>
        </w:rPr>
      </w:pPr>
      <w:r>
        <w:rPr>
          <w:rFonts w:ascii="Calibri" w:eastAsia="Calibri" w:hAnsi="Calibri" w:cs="Calibri"/>
          <w:b/>
          <w:bCs/>
          <w:color w:val="000000"/>
          <w:u w:color="000000"/>
        </w:rPr>
        <w:t>Second Semester</w:t>
      </w:r>
    </w:p>
    <w:tbl>
      <w:tblPr>
        <w:tblStyle w:val="4-121"/>
        <w:tblW w:w="4944" w:type="pct"/>
        <w:tblInd w:w="-34" w:type="dxa"/>
        <w:tblLayout w:type="fixed"/>
        <w:tblLook w:val="04A0" w:firstRow="1" w:lastRow="0" w:firstColumn="1" w:lastColumn="0" w:noHBand="0" w:noVBand="1"/>
      </w:tblPr>
      <w:tblGrid>
        <w:gridCol w:w="747"/>
        <w:gridCol w:w="1238"/>
        <w:gridCol w:w="1201"/>
        <w:gridCol w:w="4796"/>
        <w:gridCol w:w="1119"/>
      </w:tblGrid>
      <w:tr w:rsidR="00905505" w:rsidRPr="00AA5300" w14:paraId="34DED6AD" w14:textId="77777777" w:rsidTr="00905505">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410" w:type="pct"/>
          </w:tcPr>
          <w:p w14:paraId="16A8583F" w14:textId="77777777" w:rsidR="00905505" w:rsidRPr="00AA5300" w:rsidRDefault="00905505" w:rsidP="00891DFE">
            <w:pPr>
              <w:spacing w:after="160" w:line="276" w:lineRule="auto"/>
              <w:ind w:left="-5" w:right="166" w:hanging="10"/>
              <w:rPr>
                <w:rFonts w:ascii="Calibri" w:eastAsia="Calibri" w:hAnsi="Calibri" w:cs="Calibri"/>
                <w:color w:val="000000"/>
                <w:lang w:val="en-US" w:eastAsia="en-US"/>
              </w:rPr>
            </w:pPr>
          </w:p>
        </w:tc>
        <w:tc>
          <w:tcPr>
            <w:tcW w:w="680" w:type="pct"/>
          </w:tcPr>
          <w:p w14:paraId="534E2CD9" w14:textId="77777777" w:rsidR="00905505" w:rsidRPr="00AA5300" w:rsidRDefault="00905505" w:rsidP="00891DFE">
            <w:pPr>
              <w:spacing w:after="160" w:line="276" w:lineRule="auto"/>
              <w:ind w:left="-5" w:right="166" w:hanging="1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rPr>
            </w:pPr>
            <w:r>
              <w:rPr>
                <w:rFonts w:ascii="Calibri" w:eastAsia="Calibri" w:hAnsi="Calibri" w:cs="Calibri"/>
                <w:color w:val="000000"/>
                <w:sz w:val="20"/>
                <w:szCs w:val="20"/>
                <w:lang w:val="en-US" w:eastAsia="en-US"/>
              </w:rPr>
              <w:t>CODE</w:t>
            </w:r>
          </w:p>
        </w:tc>
        <w:tc>
          <w:tcPr>
            <w:tcW w:w="660" w:type="pct"/>
          </w:tcPr>
          <w:p w14:paraId="791B5101" w14:textId="2B659C77" w:rsidR="00905505" w:rsidRPr="00AA5300" w:rsidRDefault="00905505" w:rsidP="00FF2F01">
            <w:pPr>
              <w:spacing w:after="160" w:line="276" w:lineRule="auto"/>
              <w:ind w:left="-5" w:right="166" w:hanging="1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rPr>
            </w:pPr>
            <w:r>
              <w:rPr>
                <w:rFonts w:ascii="Calibri" w:eastAsia="Calibri" w:hAnsi="Calibri" w:cs="Calibri"/>
                <w:color w:val="000000"/>
                <w:sz w:val="20"/>
                <w:szCs w:val="20"/>
                <w:lang w:eastAsia="en-US"/>
              </w:rPr>
              <w:t>TYPE (Core/</w:t>
            </w:r>
          </w:p>
        </w:tc>
        <w:tc>
          <w:tcPr>
            <w:tcW w:w="2634" w:type="pct"/>
          </w:tcPr>
          <w:p w14:paraId="27FF7AD7" w14:textId="77777777" w:rsidR="00905505" w:rsidRPr="00AA5300" w:rsidRDefault="00905505" w:rsidP="00891DFE">
            <w:pPr>
              <w:spacing w:after="160" w:line="276" w:lineRule="auto"/>
              <w:ind w:left="-5" w:right="166" w:hanging="1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rPr>
            </w:pPr>
            <w:r>
              <w:rPr>
                <w:rFonts w:ascii="Calibri" w:eastAsia="Calibri" w:hAnsi="Calibri" w:cs="Calibri"/>
                <w:color w:val="000000"/>
                <w:sz w:val="20"/>
                <w:szCs w:val="20"/>
                <w:lang w:val="en-US" w:eastAsia="en-US"/>
              </w:rPr>
              <w:t>COURSES</w:t>
            </w:r>
          </w:p>
        </w:tc>
        <w:tc>
          <w:tcPr>
            <w:tcW w:w="615" w:type="pct"/>
          </w:tcPr>
          <w:p w14:paraId="0F185E1A" w14:textId="77777777" w:rsidR="00905505" w:rsidRPr="00AA5300" w:rsidRDefault="00905505" w:rsidP="00891DFE">
            <w:pPr>
              <w:spacing w:after="160" w:line="276" w:lineRule="auto"/>
              <w:ind w:left="-5" w:right="166" w:hanging="1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rPr>
            </w:pPr>
            <w:r w:rsidRPr="00AA5300">
              <w:rPr>
                <w:rFonts w:ascii="Calibri" w:eastAsia="Calibri" w:hAnsi="Calibri" w:cs="Calibri"/>
                <w:color w:val="000000"/>
                <w:sz w:val="20"/>
                <w:szCs w:val="20"/>
                <w:lang w:eastAsia="en-US"/>
              </w:rPr>
              <w:t xml:space="preserve">ECTS </w:t>
            </w:r>
          </w:p>
        </w:tc>
      </w:tr>
      <w:tr w:rsidR="00905505" w:rsidRPr="00AA5300" w14:paraId="7A015E41" w14:textId="77777777" w:rsidTr="00905505">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10" w:type="pct"/>
          </w:tcPr>
          <w:p w14:paraId="63DE6C68" w14:textId="77777777" w:rsidR="00905505" w:rsidRPr="00AA5300" w:rsidRDefault="00905505" w:rsidP="00891DFE">
            <w:pPr>
              <w:spacing w:after="160" w:line="276" w:lineRule="auto"/>
              <w:ind w:left="-5" w:right="166" w:hanging="1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7</w:t>
            </w:r>
          </w:p>
        </w:tc>
        <w:tc>
          <w:tcPr>
            <w:tcW w:w="680" w:type="pct"/>
          </w:tcPr>
          <w:p w14:paraId="66F1CF82"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val="en-US" w:eastAsia="en-US"/>
              </w:rPr>
              <w:t>M</w:t>
            </w:r>
            <w:r w:rsidRPr="00AA5300">
              <w:rPr>
                <w:rFonts w:ascii="Calibri" w:eastAsia="Calibri" w:hAnsi="Calibri" w:cs="Calibri"/>
                <w:color w:val="000000"/>
                <w:sz w:val="20"/>
                <w:szCs w:val="20"/>
                <w:lang w:eastAsia="en-US"/>
              </w:rPr>
              <w:t>07</w:t>
            </w:r>
          </w:p>
        </w:tc>
        <w:tc>
          <w:tcPr>
            <w:tcW w:w="660" w:type="pct"/>
          </w:tcPr>
          <w:p w14:paraId="65B2A67C"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w:t>
            </w:r>
          </w:p>
        </w:tc>
        <w:tc>
          <w:tcPr>
            <w:tcW w:w="2634" w:type="pct"/>
          </w:tcPr>
          <w:p w14:paraId="11A9D158"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Data Analytics</w:t>
            </w:r>
          </w:p>
        </w:tc>
        <w:tc>
          <w:tcPr>
            <w:tcW w:w="615" w:type="pct"/>
          </w:tcPr>
          <w:p w14:paraId="3AD0DED5"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05505" w:rsidRPr="00AA5300" w14:paraId="6AC6FD5C" w14:textId="77777777" w:rsidTr="00905505">
        <w:trPr>
          <w:trHeight w:val="498"/>
        </w:trPr>
        <w:tc>
          <w:tcPr>
            <w:cnfStyle w:val="001000000000" w:firstRow="0" w:lastRow="0" w:firstColumn="1" w:lastColumn="0" w:oddVBand="0" w:evenVBand="0" w:oddHBand="0" w:evenHBand="0" w:firstRowFirstColumn="0" w:firstRowLastColumn="0" w:lastRowFirstColumn="0" w:lastRowLastColumn="0"/>
            <w:tcW w:w="410" w:type="pct"/>
          </w:tcPr>
          <w:p w14:paraId="2189CB64" w14:textId="77777777" w:rsidR="00905505" w:rsidRPr="00AA5300" w:rsidRDefault="00905505" w:rsidP="00891DFE">
            <w:pPr>
              <w:spacing w:after="160" w:line="276" w:lineRule="auto"/>
              <w:ind w:left="-5" w:right="166" w:hanging="1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8</w:t>
            </w:r>
          </w:p>
        </w:tc>
        <w:tc>
          <w:tcPr>
            <w:tcW w:w="680" w:type="pct"/>
          </w:tcPr>
          <w:p w14:paraId="3E4C84D5"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M08</w:t>
            </w:r>
          </w:p>
        </w:tc>
        <w:tc>
          <w:tcPr>
            <w:tcW w:w="660" w:type="pct"/>
          </w:tcPr>
          <w:p w14:paraId="1890C07D"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2634" w:type="pct"/>
          </w:tcPr>
          <w:p w14:paraId="04353E7A"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Sustainable Management of Projects in Government</w:t>
            </w:r>
          </w:p>
        </w:tc>
        <w:tc>
          <w:tcPr>
            <w:tcW w:w="615" w:type="pct"/>
          </w:tcPr>
          <w:p w14:paraId="09AA713E"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05505" w:rsidRPr="00AA5300" w14:paraId="7A053939" w14:textId="77777777" w:rsidTr="00905505">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10" w:type="pct"/>
          </w:tcPr>
          <w:p w14:paraId="6EF2A835" w14:textId="77777777" w:rsidR="00905505" w:rsidRPr="00AA5300" w:rsidRDefault="00905505" w:rsidP="00891DFE">
            <w:pPr>
              <w:spacing w:after="160" w:line="276" w:lineRule="auto"/>
              <w:ind w:left="-5" w:right="166" w:hanging="1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9</w:t>
            </w:r>
          </w:p>
        </w:tc>
        <w:tc>
          <w:tcPr>
            <w:tcW w:w="680" w:type="pct"/>
          </w:tcPr>
          <w:p w14:paraId="6E2BE7C5"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M09</w:t>
            </w:r>
          </w:p>
        </w:tc>
        <w:tc>
          <w:tcPr>
            <w:tcW w:w="660" w:type="pct"/>
          </w:tcPr>
          <w:p w14:paraId="25676DC6"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2634" w:type="pct"/>
          </w:tcPr>
          <w:p w14:paraId="0BEB0C7D"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Citizen engagement and New Media</w:t>
            </w:r>
          </w:p>
        </w:tc>
        <w:tc>
          <w:tcPr>
            <w:tcW w:w="615" w:type="pct"/>
          </w:tcPr>
          <w:p w14:paraId="534ADCCB"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05505" w:rsidRPr="00AA5300" w14:paraId="23D42F85" w14:textId="77777777" w:rsidTr="00905505">
        <w:trPr>
          <w:trHeight w:val="513"/>
        </w:trPr>
        <w:tc>
          <w:tcPr>
            <w:cnfStyle w:val="001000000000" w:firstRow="0" w:lastRow="0" w:firstColumn="1" w:lastColumn="0" w:oddVBand="0" w:evenVBand="0" w:oddHBand="0" w:evenHBand="0" w:firstRowFirstColumn="0" w:firstRowLastColumn="0" w:lastRowFirstColumn="0" w:lastRowLastColumn="0"/>
            <w:tcW w:w="410" w:type="pct"/>
          </w:tcPr>
          <w:p w14:paraId="35714BF9" w14:textId="77777777" w:rsidR="00905505" w:rsidRPr="00AA5300" w:rsidRDefault="00905505" w:rsidP="00891DFE">
            <w:pPr>
              <w:spacing w:after="160" w:line="276" w:lineRule="auto"/>
              <w:ind w:left="-5" w:right="166" w:hanging="1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10</w:t>
            </w:r>
          </w:p>
        </w:tc>
        <w:tc>
          <w:tcPr>
            <w:tcW w:w="680" w:type="pct"/>
          </w:tcPr>
          <w:p w14:paraId="567C6A7E"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M10</w:t>
            </w:r>
          </w:p>
        </w:tc>
        <w:tc>
          <w:tcPr>
            <w:tcW w:w="660" w:type="pct"/>
          </w:tcPr>
          <w:p w14:paraId="7E0E5835"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Pr>
                <w:rFonts w:ascii="Calibri" w:eastAsia="Calibri" w:hAnsi="Calibri" w:cs="Calibri"/>
                <w:color w:val="000000"/>
                <w:sz w:val="20"/>
                <w:szCs w:val="20"/>
                <w:lang w:val="en-US" w:eastAsia="en-US"/>
              </w:rPr>
              <w:t>C</w:t>
            </w:r>
          </w:p>
        </w:tc>
        <w:tc>
          <w:tcPr>
            <w:tcW w:w="2634" w:type="pct"/>
          </w:tcPr>
          <w:p w14:paraId="075AF3CD"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Research Methods and Skills</w:t>
            </w:r>
          </w:p>
        </w:tc>
        <w:tc>
          <w:tcPr>
            <w:tcW w:w="615" w:type="pct"/>
          </w:tcPr>
          <w:p w14:paraId="4747AD67" w14:textId="77777777" w:rsidR="00905505" w:rsidRPr="00AA5300" w:rsidRDefault="00905505" w:rsidP="00891DFE">
            <w:pPr>
              <w:spacing w:after="160" w:line="276" w:lineRule="auto"/>
              <w:ind w:left="-5" w:right="166" w:hanging="1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7,</w:t>
            </w:r>
            <w:r w:rsidRPr="00AA5300">
              <w:rPr>
                <w:rFonts w:ascii="Calibri" w:eastAsia="Calibri" w:hAnsi="Calibri" w:cs="Calibri"/>
                <w:color w:val="000000"/>
                <w:sz w:val="20"/>
                <w:szCs w:val="20"/>
                <w:lang w:val="en-US" w:eastAsia="en-US"/>
              </w:rPr>
              <w:t>5</w:t>
            </w:r>
          </w:p>
        </w:tc>
      </w:tr>
      <w:tr w:rsidR="00905505" w:rsidRPr="00AA5300" w14:paraId="603EEAC7" w14:textId="77777777" w:rsidTr="0090550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385" w:type="pct"/>
            <w:gridSpan w:val="4"/>
          </w:tcPr>
          <w:p w14:paraId="1E2FD8C3" w14:textId="77777777" w:rsidR="00905505" w:rsidRPr="00AA5300" w:rsidRDefault="00905505" w:rsidP="00891DFE">
            <w:pPr>
              <w:spacing w:after="160" w:line="276" w:lineRule="auto"/>
              <w:ind w:left="-5" w:right="166" w:hanging="10"/>
              <w:jc w:val="right"/>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Total</w:t>
            </w:r>
            <w:r w:rsidRPr="00AA5300">
              <w:rPr>
                <w:rFonts w:ascii="Calibri" w:eastAsia="Calibri" w:hAnsi="Calibri" w:cs="Calibri"/>
                <w:color w:val="000000"/>
                <w:sz w:val="20"/>
                <w:szCs w:val="20"/>
                <w:lang w:eastAsia="en-US"/>
              </w:rPr>
              <w:t xml:space="preserve"> ECTS </w:t>
            </w:r>
          </w:p>
        </w:tc>
        <w:tc>
          <w:tcPr>
            <w:tcW w:w="615" w:type="pct"/>
          </w:tcPr>
          <w:p w14:paraId="2C9B6358"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 xml:space="preserve">30 </w:t>
            </w:r>
          </w:p>
        </w:tc>
      </w:tr>
    </w:tbl>
    <w:p w14:paraId="68C1BCE4" w14:textId="77777777" w:rsidR="00905505" w:rsidRDefault="00905505" w:rsidP="00905505">
      <w:pPr>
        <w:spacing w:after="0"/>
        <w:ind w:left="-6" w:right="164" w:hanging="11"/>
        <w:rPr>
          <w:rFonts w:ascii="Calibri" w:eastAsia="Calibri" w:hAnsi="Calibri" w:cs="Calibri"/>
          <w:b/>
          <w:bCs/>
          <w:color w:val="000000"/>
          <w:u w:color="000000"/>
        </w:rPr>
      </w:pPr>
    </w:p>
    <w:p w14:paraId="6B78668B" w14:textId="77777777" w:rsidR="00905505" w:rsidRPr="00014F23" w:rsidRDefault="00905505" w:rsidP="00905505">
      <w:pPr>
        <w:spacing w:after="0"/>
        <w:ind w:left="-6" w:right="164" w:hanging="11"/>
        <w:rPr>
          <w:rFonts w:ascii="Calibri" w:eastAsia="Calibri" w:hAnsi="Calibri" w:cs="Calibri"/>
          <w:b/>
          <w:bCs/>
          <w:color w:val="000000"/>
        </w:rPr>
      </w:pPr>
      <w:r>
        <w:rPr>
          <w:rFonts w:ascii="Calibri" w:eastAsia="Calibri" w:hAnsi="Calibri" w:cs="Calibri"/>
          <w:b/>
          <w:bCs/>
          <w:color w:val="000000"/>
          <w:u w:color="000000"/>
        </w:rPr>
        <w:t>Third Semester</w:t>
      </w:r>
    </w:p>
    <w:tbl>
      <w:tblPr>
        <w:tblStyle w:val="4-121"/>
        <w:tblW w:w="9101" w:type="dxa"/>
        <w:tblInd w:w="-34" w:type="dxa"/>
        <w:tblLayout w:type="fixed"/>
        <w:tblLook w:val="04A0" w:firstRow="1" w:lastRow="0" w:firstColumn="1" w:lastColumn="0" w:noHBand="0" w:noVBand="1"/>
      </w:tblPr>
      <w:tblGrid>
        <w:gridCol w:w="738"/>
        <w:gridCol w:w="1134"/>
        <w:gridCol w:w="1276"/>
        <w:gridCol w:w="4961"/>
        <w:gridCol w:w="992"/>
      </w:tblGrid>
      <w:tr w:rsidR="00905505" w:rsidRPr="00AA5300" w14:paraId="09E1B4CA" w14:textId="77777777" w:rsidTr="00891DFE">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738" w:type="dxa"/>
          </w:tcPr>
          <w:p w14:paraId="0502DC09" w14:textId="77777777" w:rsidR="00905505" w:rsidRPr="00AA5300" w:rsidRDefault="00905505" w:rsidP="00891DFE">
            <w:pPr>
              <w:spacing w:line="276" w:lineRule="auto"/>
              <w:ind w:left="-6" w:right="164" w:hanging="11"/>
              <w:rPr>
                <w:rFonts w:ascii="Calibri" w:eastAsia="Calibri" w:hAnsi="Calibri" w:cs="Calibri"/>
                <w:color w:val="000000"/>
                <w:sz w:val="20"/>
                <w:szCs w:val="20"/>
                <w:lang w:eastAsia="en-US"/>
              </w:rPr>
            </w:pPr>
          </w:p>
        </w:tc>
        <w:tc>
          <w:tcPr>
            <w:tcW w:w="1134" w:type="dxa"/>
          </w:tcPr>
          <w:p w14:paraId="59BFEA5C" w14:textId="77777777" w:rsidR="00905505" w:rsidRPr="00AA5300" w:rsidRDefault="00905505" w:rsidP="00891DFE">
            <w:pPr>
              <w:spacing w:line="276" w:lineRule="auto"/>
              <w:ind w:left="-6" w:right="164" w:hanging="11"/>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CODE</w:t>
            </w:r>
          </w:p>
        </w:tc>
        <w:tc>
          <w:tcPr>
            <w:tcW w:w="1276" w:type="dxa"/>
          </w:tcPr>
          <w:p w14:paraId="328EA1E4" w14:textId="178089E7" w:rsidR="00905505" w:rsidRPr="00AA5300" w:rsidRDefault="00905505" w:rsidP="00FF2F01">
            <w:pPr>
              <w:spacing w:line="276" w:lineRule="auto"/>
              <w:ind w:left="-6" w:right="164" w:hanging="11"/>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TYPE (Core/</w:t>
            </w:r>
          </w:p>
        </w:tc>
        <w:tc>
          <w:tcPr>
            <w:tcW w:w="4961" w:type="dxa"/>
          </w:tcPr>
          <w:p w14:paraId="24E572D5" w14:textId="77777777" w:rsidR="00905505" w:rsidRPr="00AA5300" w:rsidRDefault="00905505" w:rsidP="00891DFE">
            <w:pPr>
              <w:spacing w:line="276" w:lineRule="auto"/>
              <w:ind w:left="-6" w:right="164" w:hanging="11"/>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COURSES</w:t>
            </w:r>
          </w:p>
        </w:tc>
        <w:tc>
          <w:tcPr>
            <w:tcW w:w="992" w:type="dxa"/>
          </w:tcPr>
          <w:p w14:paraId="11732867" w14:textId="77777777" w:rsidR="00905505" w:rsidRPr="00AA5300" w:rsidRDefault="00905505" w:rsidP="00891DFE">
            <w:pPr>
              <w:spacing w:line="276" w:lineRule="auto"/>
              <w:ind w:left="-6" w:right="164" w:hanging="11"/>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 xml:space="preserve">ECTS </w:t>
            </w:r>
          </w:p>
        </w:tc>
      </w:tr>
      <w:tr w:rsidR="00905505" w:rsidRPr="00AA5300" w14:paraId="3962DCFF" w14:textId="77777777" w:rsidTr="00891DF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738" w:type="dxa"/>
          </w:tcPr>
          <w:p w14:paraId="32E153CB" w14:textId="77777777" w:rsidR="00905505" w:rsidRPr="00AA5300" w:rsidRDefault="00905505" w:rsidP="00891DFE">
            <w:pPr>
              <w:spacing w:after="160" w:line="276" w:lineRule="auto"/>
              <w:ind w:left="-5" w:right="166" w:hanging="1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eastAsia="en-US"/>
              </w:rPr>
              <w:t>1</w:t>
            </w:r>
            <w:r w:rsidRPr="00AA5300">
              <w:rPr>
                <w:rFonts w:ascii="Calibri" w:eastAsia="Calibri" w:hAnsi="Calibri" w:cs="Calibri"/>
                <w:color w:val="000000"/>
                <w:sz w:val="20"/>
                <w:szCs w:val="20"/>
                <w:lang w:val="en-US" w:eastAsia="en-US"/>
              </w:rPr>
              <w:t>1</w:t>
            </w:r>
          </w:p>
        </w:tc>
        <w:tc>
          <w:tcPr>
            <w:tcW w:w="1134" w:type="dxa"/>
          </w:tcPr>
          <w:p w14:paraId="0958653F"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val="en-US" w:eastAsia="en-US"/>
              </w:rPr>
              <w:t>M11</w:t>
            </w:r>
          </w:p>
        </w:tc>
        <w:tc>
          <w:tcPr>
            <w:tcW w:w="1276" w:type="dxa"/>
          </w:tcPr>
          <w:p w14:paraId="1F30D4D7" w14:textId="77777777" w:rsidR="00905505" w:rsidRPr="00C64543"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Pr>
                <w:rFonts w:ascii="Calibri" w:eastAsia="Calibri" w:hAnsi="Calibri" w:cs="Calibri"/>
                <w:color w:val="000000"/>
                <w:sz w:val="20"/>
                <w:szCs w:val="20"/>
                <w:lang w:val="en-US" w:eastAsia="en-US"/>
              </w:rPr>
              <w:t>C</w:t>
            </w:r>
          </w:p>
        </w:tc>
        <w:tc>
          <w:tcPr>
            <w:tcW w:w="4961" w:type="dxa"/>
          </w:tcPr>
          <w:p w14:paraId="2F62035D"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val="en-US" w:eastAsia="en-US"/>
              </w:rPr>
            </w:pPr>
            <w:r w:rsidRPr="00AA5300">
              <w:rPr>
                <w:rFonts w:ascii="Calibri" w:eastAsia="Calibri" w:hAnsi="Calibri" w:cs="Calibri"/>
                <w:color w:val="000000"/>
                <w:sz w:val="20"/>
                <w:szCs w:val="20"/>
                <w:lang w:val="en-US" w:eastAsia="en-US"/>
              </w:rPr>
              <w:t>Thesis</w:t>
            </w:r>
          </w:p>
        </w:tc>
        <w:tc>
          <w:tcPr>
            <w:tcW w:w="992" w:type="dxa"/>
          </w:tcPr>
          <w:p w14:paraId="5E27D6A8" w14:textId="77777777" w:rsidR="00905505" w:rsidRPr="00AA5300" w:rsidRDefault="00905505" w:rsidP="00891DFE">
            <w:pPr>
              <w:spacing w:after="160" w:line="276" w:lineRule="auto"/>
              <w:ind w:left="-5" w:right="166" w:hanging="1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lang w:eastAsia="en-US"/>
              </w:rPr>
            </w:pPr>
            <w:r w:rsidRPr="00AA5300">
              <w:rPr>
                <w:rFonts w:ascii="Calibri" w:eastAsia="Calibri" w:hAnsi="Calibri" w:cs="Calibri"/>
                <w:color w:val="000000"/>
                <w:sz w:val="20"/>
                <w:szCs w:val="20"/>
                <w:lang w:eastAsia="en-US"/>
              </w:rPr>
              <w:t>30</w:t>
            </w:r>
          </w:p>
        </w:tc>
      </w:tr>
    </w:tbl>
    <w:p w14:paraId="0BF00870" w14:textId="1132699B" w:rsidR="006D3752" w:rsidRDefault="006D3752" w:rsidP="006D3752">
      <w:pPr>
        <w:spacing w:after="120"/>
        <w:rPr>
          <w:rFonts w:ascii="Calibri" w:eastAsia="Calibri" w:hAnsi="Calibri" w:cs="Calibri"/>
          <w:b/>
          <w:u w:val="single"/>
        </w:rPr>
      </w:pPr>
    </w:p>
    <w:p w14:paraId="128073E7" w14:textId="77777777" w:rsidR="006D3752" w:rsidRDefault="006D3752" w:rsidP="006D3752">
      <w:pPr>
        <w:spacing w:after="120"/>
        <w:rPr>
          <w:rFonts w:cs="Times New Roman"/>
          <w:lang w:val="en-US"/>
        </w:rPr>
      </w:pPr>
      <w:r>
        <w:rPr>
          <w:lang w:val="en-US"/>
        </w:rPr>
        <w:lastRenderedPageBreak/>
        <w:t xml:space="preserve">The distribution of courses per semester is decided by the </w:t>
      </w:r>
      <w:r>
        <w:rPr>
          <w:rFonts w:cs="Calibri"/>
          <w:lang w:val="en-US"/>
        </w:rPr>
        <w:t>HPS</w:t>
      </w:r>
      <w:r>
        <w:rPr>
          <w:lang w:val="en-US"/>
        </w:rPr>
        <w:t>, according to the needs of the programme and the availability of lecturers and may deviate from the above indicative table.</w:t>
      </w:r>
    </w:p>
    <w:p w14:paraId="64EB15C5" w14:textId="77777777" w:rsidR="006D3752" w:rsidRDefault="006D3752" w:rsidP="006D3752">
      <w:pPr>
        <w:spacing w:after="120"/>
        <w:rPr>
          <w:lang w:val="en-US"/>
        </w:rPr>
      </w:pPr>
      <w:r>
        <w:rPr>
          <w:b/>
          <w:lang w:val="en-US"/>
        </w:rPr>
        <w:t xml:space="preserve">6.7 </w:t>
      </w:r>
      <w:r>
        <w:rPr>
          <w:lang w:val="en-US"/>
        </w:rPr>
        <w:t>For each postgraduate student, the Curriculum Committee appoints one faculty member as advisor and one as supervisor. The advisor shall be responsible for monitoring and controlling the general progress of the postgraduate student's studies. The advisor meets individually with the student at least once per academic semester (face-to-face or via videoconference), advises and supports the student in matters of study, courses, options and prospects.</w:t>
      </w:r>
    </w:p>
    <w:p w14:paraId="29AF10E4" w14:textId="77777777" w:rsidR="006D3752" w:rsidRPr="00FF2F01" w:rsidRDefault="006D3752" w:rsidP="006D3752">
      <w:pPr>
        <w:pStyle w:val="2"/>
        <w:spacing w:after="120"/>
        <w:rPr>
          <w:rFonts w:asciiTheme="minorHAnsi" w:hAnsiTheme="minorHAnsi" w:cstheme="minorHAnsi"/>
          <w:color w:val="auto"/>
          <w:sz w:val="22"/>
          <w:szCs w:val="22"/>
          <w:u w:val="single"/>
          <w:lang w:val="en-US"/>
        </w:rPr>
      </w:pPr>
      <w:bookmarkStart w:id="15" w:name="_Toc197974935"/>
      <w:bookmarkStart w:id="16" w:name="_Toc197974976"/>
      <w:r w:rsidRPr="00FF2F01">
        <w:rPr>
          <w:rStyle w:val="normalchar1"/>
          <w:rFonts w:asciiTheme="minorHAnsi" w:hAnsiTheme="minorHAnsi" w:cstheme="minorHAnsi"/>
          <w:color w:val="auto"/>
          <w:szCs w:val="22"/>
          <w:u w:val="single"/>
          <w:lang w:val="en-US"/>
        </w:rPr>
        <w:t>BRIEF DESCRIPTION OF THE COURSE</w:t>
      </w:r>
      <w:bookmarkEnd w:id="15"/>
      <w:bookmarkEnd w:id="16"/>
    </w:p>
    <w:p w14:paraId="30E836B4" w14:textId="77777777" w:rsidR="00827393" w:rsidRPr="00534250" w:rsidRDefault="00827393" w:rsidP="00827393">
      <w:pPr>
        <w:spacing w:after="120" w:line="276" w:lineRule="auto"/>
        <w:rPr>
          <w:b/>
          <w:bCs/>
          <w:lang w:val="en-US" w:eastAsia="ko-KR"/>
        </w:rPr>
      </w:pPr>
      <w:r w:rsidRPr="00827393">
        <w:rPr>
          <w:b/>
          <w:lang w:val="en-US" w:eastAsia="ko-KR"/>
        </w:rPr>
        <w:t>Government in the Digital Age</w:t>
      </w:r>
      <w:r w:rsidRPr="00534250">
        <w:rPr>
          <w:b/>
          <w:bCs/>
          <w:lang w:val="en-US" w:eastAsia="ko-KR"/>
        </w:rPr>
        <w:t xml:space="preserve"> </w:t>
      </w:r>
    </w:p>
    <w:p w14:paraId="57875C53" w14:textId="77777777" w:rsidR="00827393" w:rsidRPr="00534250" w:rsidRDefault="00827393" w:rsidP="00827393">
      <w:pPr>
        <w:spacing w:after="120" w:line="276" w:lineRule="auto"/>
        <w:rPr>
          <w:rFonts w:cstheme="minorHAnsi"/>
          <w:lang w:val="en-US"/>
        </w:rPr>
      </w:pPr>
      <w:r w:rsidRPr="00534250">
        <w:rPr>
          <w:rFonts w:cstheme="minorHAnsi"/>
          <w:lang w:val="en-US"/>
        </w:rPr>
        <w:t xml:space="preserve">This subject introduces the topic of digital technologies and government and explores the tools and method of digital government and regulation, and the ethical, legal and policy tensions of government increasingly shifting to the digital realm. More broadly this subject will explore ideas of digital governance, which has applications beyond government, as many private sector organizations implement data governance strategies, and as public-private partnerships on digital projects come under greater scrutiny. </w:t>
      </w:r>
    </w:p>
    <w:p w14:paraId="7EEDBA2F" w14:textId="77777777" w:rsidR="00827393" w:rsidRPr="00534250" w:rsidRDefault="00827393" w:rsidP="00827393">
      <w:pPr>
        <w:spacing w:after="120" w:line="276" w:lineRule="auto"/>
        <w:rPr>
          <w:rFonts w:cstheme="minorHAnsi"/>
          <w:lang w:val="en-US"/>
        </w:rPr>
      </w:pPr>
      <w:r w:rsidRPr="00534250">
        <w:rPr>
          <w:rFonts w:cstheme="minorHAnsi"/>
          <w:lang w:val="en-US"/>
        </w:rPr>
        <w:t>Learning outcomes:</w:t>
      </w:r>
    </w:p>
    <w:p w14:paraId="010C9BB5" w14:textId="77777777" w:rsidR="00827393" w:rsidRPr="00534250" w:rsidRDefault="00827393" w:rsidP="00827393">
      <w:pPr>
        <w:pStyle w:val="af1"/>
        <w:numPr>
          <w:ilvl w:val="0"/>
          <w:numId w:val="12"/>
        </w:numPr>
        <w:spacing w:after="120" w:line="276" w:lineRule="auto"/>
        <w:jc w:val="left"/>
        <w:rPr>
          <w:rFonts w:asciiTheme="minorHAnsi" w:eastAsiaTheme="minorHAnsi" w:hAnsiTheme="minorHAnsi" w:cstheme="minorBidi"/>
          <w:sz w:val="22"/>
          <w:szCs w:val="22"/>
          <w:lang w:val="en-US" w:eastAsia="en-US"/>
        </w:rPr>
      </w:pPr>
      <w:r w:rsidRPr="00534250">
        <w:rPr>
          <w:rFonts w:asciiTheme="minorHAnsi" w:eastAsiaTheme="minorHAnsi" w:hAnsiTheme="minorHAnsi" w:cstheme="minorBidi"/>
          <w:sz w:val="22"/>
          <w:szCs w:val="22"/>
          <w:lang w:val="en-US" w:eastAsia="en-US"/>
        </w:rPr>
        <w:t>Define and describe the concept of digital government and other related terms</w:t>
      </w:r>
    </w:p>
    <w:p w14:paraId="5BBE2154" w14:textId="77777777" w:rsidR="00827393" w:rsidRPr="00534250" w:rsidRDefault="00827393" w:rsidP="00827393">
      <w:pPr>
        <w:pStyle w:val="af1"/>
        <w:numPr>
          <w:ilvl w:val="0"/>
          <w:numId w:val="12"/>
        </w:numPr>
        <w:spacing w:after="120" w:line="276" w:lineRule="auto"/>
        <w:jc w:val="left"/>
        <w:rPr>
          <w:lang w:val="en-US"/>
        </w:rPr>
      </w:pPr>
      <w:r w:rsidRPr="00534250">
        <w:rPr>
          <w:rFonts w:asciiTheme="minorHAnsi" w:eastAsiaTheme="minorHAnsi" w:hAnsiTheme="minorHAnsi" w:cstheme="minorBidi"/>
          <w:sz w:val="22"/>
          <w:szCs w:val="22"/>
          <w:lang w:val="en-US" w:eastAsia="en-US"/>
        </w:rPr>
        <w:t>Describe and critique a range of real-world example of digital government around the world</w:t>
      </w:r>
    </w:p>
    <w:p w14:paraId="281184A9" w14:textId="77777777" w:rsidR="00827393" w:rsidRPr="00534250" w:rsidRDefault="00827393" w:rsidP="00827393">
      <w:pPr>
        <w:pStyle w:val="af1"/>
        <w:numPr>
          <w:ilvl w:val="0"/>
          <w:numId w:val="12"/>
        </w:numPr>
        <w:spacing w:after="120" w:line="276" w:lineRule="auto"/>
        <w:jc w:val="left"/>
        <w:rPr>
          <w:lang w:val="en-US"/>
        </w:rPr>
      </w:pPr>
      <w:r w:rsidRPr="00534250">
        <w:rPr>
          <w:rFonts w:asciiTheme="minorHAnsi" w:eastAsiaTheme="minorHAnsi" w:hAnsiTheme="minorHAnsi" w:cstheme="minorBidi"/>
          <w:sz w:val="22"/>
          <w:szCs w:val="22"/>
          <w:lang w:val="en-US" w:eastAsia="en-US"/>
        </w:rPr>
        <w:t>Demonstrate an understanding of why digital government is occurring and how it is situated in a social and historical context of modernity and rationality</w:t>
      </w:r>
    </w:p>
    <w:p w14:paraId="431B10F9" w14:textId="77777777" w:rsidR="00827393" w:rsidRPr="00534250" w:rsidRDefault="00827393" w:rsidP="00827393">
      <w:pPr>
        <w:pStyle w:val="af1"/>
        <w:numPr>
          <w:ilvl w:val="0"/>
          <w:numId w:val="12"/>
        </w:numPr>
        <w:spacing w:after="120" w:line="276" w:lineRule="auto"/>
        <w:jc w:val="left"/>
        <w:rPr>
          <w:lang w:val="en-US"/>
        </w:rPr>
      </w:pPr>
      <w:r w:rsidRPr="00534250">
        <w:rPr>
          <w:rFonts w:asciiTheme="minorHAnsi" w:eastAsiaTheme="minorHAnsi" w:hAnsiTheme="minorHAnsi" w:cstheme="minorBidi"/>
          <w:sz w:val="22"/>
          <w:szCs w:val="22"/>
          <w:lang w:val="en-US" w:eastAsia="en-US"/>
        </w:rPr>
        <w:t>Articulate the different types of technologies and processes being used by government and the opportunities and risk they present</w:t>
      </w:r>
    </w:p>
    <w:p w14:paraId="00670889" w14:textId="77777777" w:rsidR="00827393" w:rsidRPr="00534250" w:rsidRDefault="00827393" w:rsidP="00827393">
      <w:pPr>
        <w:pStyle w:val="af1"/>
        <w:numPr>
          <w:ilvl w:val="0"/>
          <w:numId w:val="12"/>
        </w:numPr>
        <w:spacing w:after="120" w:line="276" w:lineRule="auto"/>
        <w:jc w:val="left"/>
        <w:rPr>
          <w:lang w:val="en-US"/>
        </w:rPr>
      </w:pPr>
      <w:r w:rsidRPr="00534250">
        <w:rPr>
          <w:rFonts w:asciiTheme="minorHAnsi" w:eastAsiaTheme="minorHAnsi" w:hAnsiTheme="minorHAnsi" w:cstheme="minorBidi"/>
          <w:sz w:val="22"/>
          <w:szCs w:val="22"/>
          <w:lang w:val="en-US" w:eastAsia="en-US"/>
        </w:rPr>
        <w:t>Demonstrate the ability to translate academic knowledge into policy recommendations.</w:t>
      </w:r>
    </w:p>
    <w:p w14:paraId="0BBF2EB6" w14:textId="77777777" w:rsidR="00827393" w:rsidRPr="00534250" w:rsidRDefault="00827393" w:rsidP="00827393">
      <w:pPr>
        <w:spacing w:after="120" w:line="276" w:lineRule="auto"/>
        <w:jc w:val="left"/>
        <w:rPr>
          <w:rFonts w:ascii="Calibri" w:eastAsia="Calibri" w:hAnsi="Calibri" w:cs="Times New Roman"/>
          <w:b/>
          <w:bCs/>
          <w:lang w:val="en-US"/>
        </w:rPr>
      </w:pPr>
      <w:r w:rsidRPr="00534250">
        <w:rPr>
          <w:rFonts w:ascii="Calibri" w:eastAsia="Calibri" w:hAnsi="Calibri" w:cs="Times New Roman"/>
          <w:b/>
          <w:bCs/>
          <w:lang w:val="en-US"/>
        </w:rPr>
        <w:t>Information systems in Government</w:t>
      </w:r>
    </w:p>
    <w:p w14:paraId="406FC5C6" w14:textId="77777777" w:rsidR="00827393" w:rsidRPr="00534250" w:rsidRDefault="00827393" w:rsidP="00827393">
      <w:pPr>
        <w:spacing w:after="120" w:line="276" w:lineRule="auto"/>
        <w:rPr>
          <w:lang w:val="en-US"/>
        </w:rPr>
      </w:pPr>
      <w:r w:rsidRPr="00534250">
        <w:rPr>
          <w:lang w:val="en-US"/>
        </w:rPr>
        <w:t>This module teaches a fundamental understanding of this subject and basic design approaches that can be taken to it. Working from an interdisciplinary perspective, students gain a broad knowledge of the subject as well as insights into its branches.</w:t>
      </w:r>
    </w:p>
    <w:p w14:paraId="1B0313FD" w14:textId="77777777" w:rsidR="00827393" w:rsidRPr="00534250" w:rsidRDefault="00827393" w:rsidP="00827393">
      <w:pPr>
        <w:spacing w:after="120" w:line="276" w:lineRule="auto"/>
        <w:rPr>
          <w:lang w:val="en-US"/>
        </w:rPr>
      </w:pPr>
      <w:r w:rsidRPr="00534250">
        <w:rPr>
          <w:lang w:val="en-US"/>
        </w:rPr>
        <w:t>This enables them to achieve the basic objectives of an education in government informatics, incorporating a range of scientific and practical methods that will put them in a strong long-term position when they graduate. One crucial element of the module is that students acquire abstraction and modelling abilities for the purpose of performing practical analyses and designing business processes as well as the information systems associated with them.</w:t>
      </w:r>
    </w:p>
    <w:p w14:paraId="60229E02" w14:textId="77777777" w:rsidR="00827393" w:rsidRPr="00534250" w:rsidRDefault="00827393" w:rsidP="00827393">
      <w:pPr>
        <w:spacing w:after="120" w:line="276" w:lineRule="auto"/>
        <w:rPr>
          <w:lang w:val="en-US"/>
        </w:rPr>
      </w:pPr>
      <w:r w:rsidRPr="00534250">
        <w:rPr>
          <w:lang w:val="en-US"/>
        </w:rPr>
        <w:t>Upon successful completion of the course, students should:</w:t>
      </w:r>
    </w:p>
    <w:p w14:paraId="2B14AF69" w14:textId="77777777" w:rsidR="00827393" w:rsidRPr="00534250" w:rsidRDefault="00827393" w:rsidP="00827393">
      <w:pPr>
        <w:pStyle w:val="af1"/>
        <w:numPr>
          <w:ilvl w:val="0"/>
          <w:numId w:val="11"/>
        </w:numPr>
        <w:spacing w:after="120" w:line="276" w:lineRule="auto"/>
        <w:rPr>
          <w:rFonts w:asciiTheme="minorHAnsi" w:eastAsiaTheme="minorHAnsi" w:hAnsiTheme="minorHAnsi" w:cstheme="minorBidi"/>
          <w:sz w:val="22"/>
          <w:szCs w:val="22"/>
          <w:lang w:val="en-US" w:eastAsia="en-US"/>
        </w:rPr>
      </w:pPr>
      <w:r w:rsidRPr="00534250">
        <w:rPr>
          <w:rFonts w:asciiTheme="minorHAnsi" w:eastAsiaTheme="minorHAnsi" w:hAnsiTheme="minorHAnsi" w:cstheme="minorBidi"/>
          <w:sz w:val="22"/>
          <w:szCs w:val="22"/>
          <w:lang w:val="en-US" w:eastAsia="en-US"/>
        </w:rPr>
        <w:t>Be familiar with the knowledge-related and design-related objectives associated with government informatics.</w:t>
      </w:r>
    </w:p>
    <w:p w14:paraId="539A0C36" w14:textId="77777777" w:rsidR="00827393" w:rsidRPr="00534250" w:rsidRDefault="00827393" w:rsidP="00827393">
      <w:pPr>
        <w:pStyle w:val="af1"/>
        <w:numPr>
          <w:ilvl w:val="0"/>
          <w:numId w:val="11"/>
        </w:numPr>
        <w:spacing w:after="120" w:line="276" w:lineRule="auto"/>
        <w:rPr>
          <w:rFonts w:asciiTheme="minorHAnsi" w:eastAsiaTheme="minorHAnsi" w:hAnsiTheme="minorHAnsi" w:cstheme="minorBidi"/>
          <w:sz w:val="22"/>
          <w:szCs w:val="22"/>
          <w:lang w:val="en-US" w:eastAsia="en-US"/>
        </w:rPr>
      </w:pPr>
      <w:r w:rsidRPr="00534250">
        <w:rPr>
          <w:rFonts w:asciiTheme="minorHAnsi" w:eastAsiaTheme="minorHAnsi" w:hAnsiTheme="minorHAnsi" w:cstheme="minorBidi"/>
          <w:sz w:val="22"/>
          <w:szCs w:val="22"/>
          <w:lang w:val="en-US" w:eastAsia="en-US"/>
        </w:rPr>
        <w:t>Be able to apply a top-down approach to overall understanding.</w:t>
      </w:r>
    </w:p>
    <w:p w14:paraId="57D34EE1" w14:textId="77777777" w:rsidR="00827393" w:rsidRPr="00534250" w:rsidRDefault="00827393" w:rsidP="00827393">
      <w:pPr>
        <w:pStyle w:val="af1"/>
        <w:numPr>
          <w:ilvl w:val="0"/>
          <w:numId w:val="11"/>
        </w:numPr>
        <w:spacing w:after="120" w:line="276" w:lineRule="auto"/>
        <w:rPr>
          <w:rFonts w:asciiTheme="minorHAnsi" w:eastAsiaTheme="minorHAnsi" w:hAnsiTheme="minorHAnsi" w:cstheme="minorBidi"/>
          <w:sz w:val="22"/>
          <w:szCs w:val="22"/>
          <w:lang w:val="en-US" w:eastAsia="en-US"/>
        </w:rPr>
      </w:pPr>
      <w:r w:rsidRPr="00534250">
        <w:rPr>
          <w:rFonts w:asciiTheme="minorHAnsi" w:eastAsiaTheme="minorHAnsi" w:hAnsiTheme="minorHAnsi" w:cstheme="minorBidi"/>
          <w:sz w:val="22"/>
          <w:szCs w:val="22"/>
          <w:lang w:val="en-US" w:eastAsia="en-US"/>
        </w:rPr>
        <w:t>Be familiar with organization-related information and communication systems.</w:t>
      </w:r>
    </w:p>
    <w:p w14:paraId="6085F0B8" w14:textId="77777777" w:rsidR="00827393" w:rsidRPr="00534250" w:rsidRDefault="00827393" w:rsidP="00827393">
      <w:pPr>
        <w:pStyle w:val="af1"/>
        <w:numPr>
          <w:ilvl w:val="0"/>
          <w:numId w:val="11"/>
        </w:numPr>
        <w:spacing w:after="120" w:line="276" w:lineRule="auto"/>
        <w:rPr>
          <w:rFonts w:asciiTheme="minorHAnsi" w:eastAsiaTheme="minorHAnsi" w:hAnsiTheme="minorHAnsi" w:cstheme="minorBidi"/>
          <w:sz w:val="22"/>
          <w:szCs w:val="22"/>
          <w:lang w:val="en-US" w:eastAsia="en-US"/>
        </w:rPr>
      </w:pPr>
      <w:r w:rsidRPr="00534250">
        <w:rPr>
          <w:rFonts w:asciiTheme="minorHAnsi" w:eastAsiaTheme="minorHAnsi" w:hAnsiTheme="minorHAnsi" w:cstheme="minorBidi"/>
          <w:sz w:val="22"/>
          <w:szCs w:val="22"/>
          <w:lang w:val="en-US" w:eastAsia="en-US"/>
        </w:rPr>
        <w:t>Be able to follow the logical structure of areas of governance within the public value-added chains.</w:t>
      </w:r>
    </w:p>
    <w:p w14:paraId="0D709AAA" w14:textId="77777777" w:rsidR="00827393" w:rsidRPr="00534250" w:rsidRDefault="00827393" w:rsidP="00827393">
      <w:pPr>
        <w:pStyle w:val="af1"/>
        <w:numPr>
          <w:ilvl w:val="0"/>
          <w:numId w:val="11"/>
        </w:numPr>
        <w:spacing w:after="120" w:line="276" w:lineRule="auto"/>
        <w:rPr>
          <w:rFonts w:asciiTheme="minorHAnsi" w:eastAsiaTheme="minorHAnsi" w:hAnsiTheme="minorHAnsi" w:cstheme="minorBidi"/>
          <w:sz w:val="22"/>
          <w:szCs w:val="22"/>
          <w:lang w:val="en-US" w:eastAsia="en-US"/>
        </w:rPr>
      </w:pPr>
      <w:r w:rsidRPr="00534250">
        <w:rPr>
          <w:rFonts w:asciiTheme="minorHAnsi" w:eastAsiaTheme="minorHAnsi" w:hAnsiTheme="minorHAnsi" w:cstheme="minorBidi"/>
          <w:sz w:val="22"/>
          <w:szCs w:val="22"/>
          <w:lang w:val="en-US" w:eastAsia="en-US"/>
        </w:rPr>
        <w:t>Understand IT-based process design methods (process flow diagrams (UML)).</w:t>
      </w:r>
    </w:p>
    <w:p w14:paraId="33EA1ABD" w14:textId="77777777" w:rsidR="00827393" w:rsidRPr="00534250" w:rsidRDefault="00827393" w:rsidP="00827393">
      <w:pPr>
        <w:pStyle w:val="af1"/>
        <w:numPr>
          <w:ilvl w:val="0"/>
          <w:numId w:val="11"/>
        </w:numPr>
        <w:spacing w:after="120" w:line="276" w:lineRule="auto"/>
        <w:rPr>
          <w:rFonts w:asciiTheme="minorHAnsi" w:eastAsiaTheme="minorHAnsi" w:hAnsiTheme="minorHAnsi" w:cstheme="minorBidi"/>
          <w:sz w:val="22"/>
          <w:szCs w:val="22"/>
          <w:lang w:val="en-US" w:eastAsia="en-US"/>
        </w:rPr>
      </w:pPr>
      <w:r w:rsidRPr="00534250">
        <w:rPr>
          <w:rFonts w:asciiTheme="minorHAnsi" w:eastAsiaTheme="minorHAnsi" w:hAnsiTheme="minorHAnsi" w:cstheme="minorBidi"/>
          <w:sz w:val="22"/>
          <w:szCs w:val="22"/>
          <w:lang w:val="en-US" w:eastAsia="en-US"/>
        </w:rPr>
        <w:t>Be able to discuss social issues and basic terms.</w:t>
      </w:r>
    </w:p>
    <w:p w14:paraId="37109A3B" w14:textId="77777777" w:rsidR="00827393" w:rsidRPr="00534250" w:rsidRDefault="00827393" w:rsidP="00827393">
      <w:pPr>
        <w:pStyle w:val="af1"/>
        <w:numPr>
          <w:ilvl w:val="0"/>
          <w:numId w:val="11"/>
        </w:numPr>
        <w:spacing w:after="120" w:line="276" w:lineRule="auto"/>
        <w:rPr>
          <w:rFonts w:asciiTheme="minorHAnsi" w:eastAsiaTheme="minorHAnsi" w:hAnsiTheme="minorHAnsi" w:cstheme="minorBidi"/>
          <w:sz w:val="22"/>
          <w:szCs w:val="22"/>
          <w:lang w:val="en-US" w:eastAsia="en-US"/>
        </w:rPr>
      </w:pPr>
      <w:r w:rsidRPr="00534250">
        <w:rPr>
          <w:rFonts w:asciiTheme="minorHAnsi" w:eastAsiaTheme="minorHAnsi" w:hAnsiTheme="minorHAnsi" w:cstheme="minorBidi"/>
          <w:sz w:val="22"/>
          <w:szCs w:val="22"/>
          <w:lang w:val="en-US" w:eastAsia="en-US"/>
        </w:rPr>
        <w:t>Be able to derive ethical guidelines for government informatics.</w:t>
      </w:r>
    </w:p>
    <w:p w14:paraId="12F98D8C" w14:textId="77777777" w:rsidR="00827393" w:rsidRPr="00534250" w:rsidRDefault="00827393" w:rsidP="00827393">
      <w:pPr>
        <w:pStyle w:val="af1"/>
        <w:numPr>
          <w:ilvl w:val="0"/>
          <w:numId w:val="11"/>
        </w:numPr>
        <w:spacing w:after="120" w:line="276" w:lineRule="auto"/>
        <w:rPr>
          <w:rFonts w:asciiTheme="minorHAnsi" w:eastAsiaTheme="minorHAnsi" w:hAnsiTheme="minorHAnsi" w:cstheme="minorBidi"/>
          <w:sz w:val="22"/>
          <w:szCs w:val="22"/>
          <w:lang w:val="en-US" w:eastAsia="en-US"/>
        </w:rPr>
      </w:pPr>
      <w:r w:rsidRPr="00534250">
        <w:rPr>
          <w:rFonts w:asciiTheme="minorHAnsi" w:eastAsiaTheme="minorHAnsi" w:hAnsiTheme="minorHAnsi" w:cstheme="minorBidi"/>
          <w:sz w:val="22"/>
          <w:szCs w:val="22"/>
          <w:lang w:val="en-US" w:eastAsia="en-US"/>
        </w:rPr>
        <w:lastRenderedPageBreak/>
        <w:t>Be familiar with information technologies in government (different types of information systems in government, smart cities, government platforms, infrastructure, security and data)</w:t>
      </w:r>
    </w:p>
    <w:p w14:paraId="0AB7EB9C" w14:textId="77777777" w:rsidR="00827393" w:rsidRPr="00534250" w:rsidRDefault="00827393" w:rsidP="00827393">
      <w:pPr>
        <w:spacing w:after="120" w:line="276" w:lineRule="auto"/>
        <w:rPr>
          <w:b/>
          <w:bCs/>
          <w:lang w:val="en-US"/>
        </w:rPr>
      </w:pPr>
      <w:r w:rsidRPr="00534250">
        <w:rPr>
          <w:b/>
          <w:bCs/>
          <w:lang w:val="en-US"/>
        </w:rPr>
        <w:t>Data Centric Governance</w:t>
      </w:r>
    </w:p>
    <w:p w14:paraId="4CD6788B" w14:textId="77777777" w:rsidR="00827393" w:rsidRPr="00534250" w:rsidRDefault="00827393" w:rsidP="00827393">
      <w:pPr>
        <w:spacing w:after="120" w:line="276" w:lineRule="auto"/>
        <w:rPr>
          <w:rFonts w:ascii="Calibri" w:hAnsi="Calibri" w:cs="Calibri"/>
          <w:lang w:val="en-US"/>
        </w:rPr>
      </w:pPr>
      <w:r w:rsidRPr="00534250">
        <w:rPr>
          <w:rFonts w:ascii="Calibri" w:hAnsi="Calibri" w:cs="Calibri"/>
          <w:lang w:val="en-US"/>
        </w:rPr>
        <w:t>Upon successful completion of the course, students should:</w:t>
      </w:r>
    </w:p>
    <w:p w14:paraId="5ADB412A" w14:textId="77777777" w:rsidR="00827393" w:rsidRPr="00534250" w:rsidRDefault="00827393" w:rsidP="00827393">
      <w:pPr>
        <w:pStyle w:val="af1"/>
        <w:numPr>
          <w:ilvl w:val="0"/>
          <w:numId w:val="13"/>
        </w:numPr>
        <w:spacing w:after="120" w:line="276" w:lineRule="auto"/>
        <w:rPr>
          <w:rFonts w:ascii="Calibri" w:hAnsi="Calibri" w:cs="Calibri"/>
          <w:sz w:val="22"/>
          <w:szCs w:val="22"/>
          <w:lang w:val="en-US"/>
        </w:rPr>
      </w:pPr>
      <w:r w:rsidRPr="00534250">
        <w:rPr>
          <w:rFonts w:ascii="Calibri" w:hAnsi="Calibri" w:cs="Calibri"/>
          <w:sz w:val="22"/>
          <w:szCs w:val="22"/>
          <w:lang w:val="en-US"/>
        </w:rPr>
        <w:t>Know the use of a data analysis language to solve key business problems.</w:t>
      </w:r>
    </w:p>
    <w:p w14:paraId="285FCBD7" w14:textId="77777777" w:rsidR="00827393" w:rsidRPr="00534250" w:rsidRDefault="00827393" w:rsidP="00827393">
      <w:pPr>
        <w:pStyle w:val="af1"/>
        <w:numPr>
          <w:ilvl w:val="0"/>
          <w:numId w:val="13"/>
        </w:numPr>
        <w:spacing w:after="120" w:line="276" w:lineRule="auto"/>
        <w:rPr>
          <w:rFonts w:ascii="Calibri" w:hAnsi="Calibri" w:cs="Calibri"/>
          <w:sz w:val="22"/>
          <w:szCs w:val="22"/>
          <w:lang w:val="en-US"/>
        </w:rPr>
      </w:pPr>
      <w:r w:rsidRPr="00534250">
        <w:rPr>
          <w:rFonts w:ascii="Calibri" w:hAnsi="Calibri" w:cs="Calibri"/>
          <w:sz w:val="22"/>
          <w:szCs w:val="22"/>
          <w:lang w:val="en-US"/>
        </w:rPr>
        <w:t>Successfully handle basic R language data structures</w:t>
      </w:r>
    </w:p>
    <w:p w14:paraId="7E1BB9F0" w14:textId="77777777" w:rsidR="00827393" w:rsidRPr="00534250" w:rsidRDefault="00827393" w:rsidP="00827393">
      <w:pPr>
        <w:pStyle w:val="af1"/>
        <w:numPr>
          <w:ilvl w:val="0"/>
          <w:numId w:val="13"/>
        </w:numPr>
        <w:spacing w:after="120" w:line="276" w:lineRule="auto"/>
        <w:rPr>
          <w:rFonts w:ascii="Calibri" w:hAnsi="Calibri" w:cs="Calibri"/>
          <w:sz w:val="22"/>
          <w:szCs w:val="22"/>
          <w:lang w:val="en-US"/>
        </w:rPr>
      </w:pPr>
      <w:r w:rsidRPr="00534250">
        <w:rPr>
          <w:rFonts w:ascii="Calibri" w:hAnsi="Calibri" w:cs="Calibri"/>
          <w:sz w:val="22"/>
          <w:szCs w:val="22"/>
          <w:lang w:val="en-US"/>
        </w:rPr>
        <w:t>Use statistical tools to successfully handle data analysis models to solve business problems.</w:t>
      </w:r>
    </w:p>
    <w:p w14:paraId="08B92D4B" w14:textId="77777777" w:rsidR="00827393" w:rsidRPr="00534250" w:rsidRDefault="00827393" w:rsidP="00827393">
      <w:pPr>
        <w:pStyle w:val="af1"/>
        <w:numPr>
          <w:ilvl w:val="0"/>
          <w:numId w:val="13"/>
        </w:numPr>
        <w:spacing w:after="120" w:line="276" w:lineRule="auto"/>
        <w:rPr>
          <w:rFonts w:ascii="Calibri" w:hAnsi="Calibri" w:cs="Calibri"/>
          <w:sz w:val="22"/>
          <w:szCs w:val="22"/>
          <w:lang w:val="en-US"/>
        </w:rPr>
      </w:pPr>
      <w:r w:rsidRPr="00534250">
        <w:rPr>
          <w:rFonts w:ascii="Calibri" w:hAnsi="Calibri" w:cs="Calibri"/>
          <w:sz w:val="22"/>
          <w:szCs w:val="22"/>
          <w:lang w:val="en-US"/>
        </w:rPr>
        <w:t>Design and implement simple data analysis models using the R language.</w:t>
      </w:r>
    </w:p>
    <w:p w14:paraId="430B4886" w14:textId="77777777" w:rsidR="00827393" w:rsidRPr="00534250" w:rsidRDefault="00827393" w:rsidP="00827393">
      <w:pPr>
        <w:spacing w:after="120" w:line="276" w:lineRule="auto"/>
        <w:rPr>
          <w:b/>
          <w:bCs/>
          <w:lang w:val="en-US"/>
        </w:rPr>
      </w:pPr>
      <w:r w:rsidRPr="00534250">
        <w:rPr>
          <w:b/>
          <w:bCs/>
          <w:lang w:val="en-US"/>
        </w:rPr>
        <w:t>Public sector innovation and Strategy</w:t>
      </w:r>
    </w:p>
    <w:p w14:paraId="22EA11F3" w14:textId="77777777" w:rsidR="00827393" w:rsidRPr="00534250" w:rsidRDefault="00827393" w:rsidP="00827393">
      <w:pPr>
        <w:framePr w:hSpace="180" w:wrap="around" w:vAnchor="text" w:hAnchor="text" w:y="1"/>
        <w:spacing w:after="120" w:line="276" w:lineRule="auto"/>
        <w:suppressOverlap/>
        <w:rPr>
          <w:lang w:val="en-US"/>
        </w:rPr>
      </w:pPr>
      <w:r w:rsidRPr="00534250">
        <w:rPr>
          <w:lang w:val="en-US"/>
        </w:rPr>
        <w:t xml:space="preserve">This module addresses current issues in digital innovation, planning and management in government. It discusses the fundamentals in innovation and its management under the lens of digital technologies. It uses techniques for proper innovation definition, the estimation of its success, the selection of innovation and their strategic alignment. Moreover, it presents methods for ideation and design thinking in government, innovation management and sustainable innovation planning in accordance with government strategy.  </w:t>
      </w:r>
    </w:p>
    <w:p w14:paraId="08BF65E1" w14:textId="77777777" w:rsidR="00827393" w:rsidRPr="00534250" w:rsidRDefault="00827393" w:rsidP="00827393">
      <w:pPr>
        <w:framePr w:hSpace="180" w:wrap="around" w:vAnchor="text" w:hAnchor="text" w:y="1"/>
        <w:spacing w:after="120" w:line="276" w:lineRule="auto"/>
        <w:suppressOverlap/>
        <w:rPr>
          <w:lang w:val="en-US"/>
        </w:rPr>
      </w:pPr>
      <w:r w:rsidRPr="00534250">
        <w:rPr>
          <w:lang w:val="en-US"/>
        </w:rPr>
        <w:t>Upon successful completion of the course, students should be able to describe:</w:t>
      </w:r>
    </w:p>
    <w:p w14:paraId="31B430F8"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How do digital innovations form/evolve in government?</w:t>
      </w:r>
    </w:p>
    <w:p w14:paraId="68C777D4"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How should actors/entities organize for innovation?</w:t>
      </w:r>
    </w:p>
    <w:p w14:paraId="474CE2C5"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How does the nature of innovation and the organization of innovation interact?</w:t>
      </w:r>
    </w:p>
    <w:p w14:paraId="6BA488D7"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How can innovation be managed under the lens of a strategy?</w:t>
      </w:r>
    </w:p>
    <w:p w14:paraId="222281D0" w14:textId="77777777" w:rsidR="00827393" w:rsidRPr="00534250" w:rsidRDefault="00827393" w:rsidP="00827393">
      <w:pPr>
        <w:spacing w:after="120" w:line="276" w:lineRule="auto"/>
        <w:rPr>
          <w:lang w:val="en-US"/>
        </w:rPr>
      </w:pPr>
      <w:r w:rsidRPr="00534250">
        <w:rPr>
          <w:lang w:val="en-US"/>
        </w:rPr>
        <w:t>The processes for ideation and design thinking for digital innovation development.</w:t>
      </w:r>
    </w:p>
    <w:p w14:paraId="20DADD02" w14:textId="77777777" w:rsidR="00827393" w:rsidRPr="00534250" w:rsidRDefault="00827393" w:rsidP="00827393">
      <w:pPr>
        <w:spacing w:after="120" w:line="276" w:lineRule="auto"/>
        <w:rPr>
          <w:b/>
          <w:bCs/>
          <w:lang w:val="en-US"/>
        </w:rPr>
      </w:pPr>
      <w:r w:rsidRPr="00534250">
        <w:rPr>
          <w:b/>
          <w:bCs/>
          <w:lang w:val="en-US"/>
        </w:rPr>
        <w:t>Data Analytics</w:t>
      </w:r>
    </w:p>
    <w:p w14:paraId="075D6468" w14:textId="77777777" w:rsidR="00827393" w:rsidRPr="00534250" w:rsidRDefault="00827393" w:rsidP="00827393">
      <w:pPr>
        <w:framePr w:hSpace="180" w:wrap="around" w:vAnchor="text" w:hAnchor="text" w:y="1"/>
        <w:spacing w:after="120" w:line="276" w:lineRule="auto"/>
        <w:suppressOverlap/>
        <w:jc w:val="left"/>
        <w:rPr>
          <w:rFonts w:ascii="Calibri" w:eastAsia="Calibri" w:hAnsi="Calibri" w:cs="Times New Roman"/>
          <w:lang w:val="en-US"/>
        </w:rPr>
      </w:pPr>
      <w:r w:rsidRPr="00534250">
        <w:rPr>
          <w:rFonts w:ascii="Calibri" w:eastAsia="Calibri" w:hAnsi="Calibri" w:cs="Times New Roman"/>
          <w:lang w:val="en-US"/>
        </w:rPr>
        <w:t>Upon successful completion of the course, students should:</w:t>
      </w:r>
    </w:p>
    <w:p w14:paraId="24E1929F"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Know the terminology of data analysis as it is applied in the field of government and business.</w:t>
      </w:r>
    </w:p>
    <w:p w14:paraId="7CC29102"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Distinguish the main categories of data analysis models and their special features</w:t>
      </w:r>
    </w:p>
    <w:p w14:paraId="4F420338"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Use statistical tools to successfully handle data analysis models.</w:t>
      </w:r>
    </w:p>
    <w:p w14:paraId="3282612C"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Know the basic use of at least two software for data analysis.</w:t>
      </w:r>
    </w:p>
    <w:p w14:paraId="4ED6A90E" w14:textId="77777777" w:rsidR="00827393" w:rsidRPr="00534250" w:rsidRDefault="00827393" w:rsidP="00827393">
      <w:pPr>
        <w:rPr>
          <w:b/>
          <w:bCs/>
          <w:lang w:val="en-US"/>
        </w:rPr>
      </w:pPr>
      <w:r w:rsidRPr="00534250">
        <w:rPr>
          <w:b/>
          <w:bCs/>
          <w:lang w:val="en-US"/>
        </w:rPr>
        <w:t>Sustainable Management of Projects in Government</w:t>
      </w:r>
    </w:p>
    <w:p w14:paraId="1C205049" w14:textId="77777777" w:rsidR="00827393" w:rsidRPr="00534250" w:rsidRDefault="00827393" w:rsidP="00827393">
      <w:pPr>
        <w:framePr w:hSpace="180" w:wrap="around" w:vAnchor="text" w:hAnchor="text" w:y="1"/>
        <w:spacing w:after="0" w:line="240" w:lineRule="auto"/>
        <w:suppressOverlap/>
        <w:rPr>
          <w:lang w:val="en-US"/>
        </w:rPr>
      </w:pPr>
      <w:r w:rsidRPr="00534250">
        <w:rPr>
          <w:lang w:val="en-US"/>
        </w:rPr>
        <w:t>This course has a double objective: first to offer the theoretical background and the technical skills regarding project management and second, to make students understand how they can manage projects and change in government.</w:t>
      </w:r>
    </w:p>
    <w:p w14:paraId="1EB4BDF7" w14:textId="77777777" w:rsidR="00827393" w:rsidRPr="00534250" w:rsidRDefault="00827393" w:rsidP="00827393">
      <w:pPr>
        <w:framePr w:hSpace="180" w:wrap="around" w:vAnchor="text" w:hAnchor="text" w:y="1"/>
        <w:spacing w:after="0" w:line="240" w:lineRule="auto"/>
        <w:suppressOverlap/>
        <w:rPr>
          <w:lang w:val="en-US"/>
        </w:rPr>
      </w:pPr>
    </w:p>
    <w:p w14:paraId="16E85E1C" w14:textId="77777777" w:rsidR="00827393" w:rsidRPr="00534250" w:rsidRDefault="00827393" w:rsidP="00827393">
      <w:pPr>
        <w:framePr w:hSpace="180" w:wrap="around" w:vAnchor="text" w:hAnchor="text" w:y="1"/>
        <w:spacing w:after="0" w:line="240" w:lineRule="auto"/>
        <w:suppressOverlap/>
        <w:rPr>
          <w:lang w:val="en-US"/>
        </w:rPr>
      </w:pPr>
      <w:r w:rsidRPr="00534250">
        <w:rPr>
          <w:lang w:val="en-US"/>
        </w:rPr>
        <w:t>Learning outcomes:</w:t>
      </w:r>
    </w:p>
    <w:p w14:paraId="6B6F268B"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Define project and project management</w:t>
      </w:r>
    </w:p>
    <w:p w14:paraId="2226A28D"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Explain project management standards</w:t>
      </w:r>
    </w:p>
    <w:p w14:paraId="3F36BF08"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Apply project management techniques</w:t>
      </w:r>
    </w:p>
    <w:p w14:paraId="324B7E82"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Handle change and coalitions</w:t>
      </w:r>
    </w:p>
    <w:p w14:paraId="15410A96"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Describe organizational change</w:t>
      </w:r>
    </w:p>
    <w:p w14:paraId="7B3FC94C" w14:textId="77777777" w:rsidR="00827393" w:rsidRPr="00534250" w:rsidRDefault="00827393" w:rsidP="00827393">
      <w:pPr>
        <w:pStyle w:val="af1"/>
        <w:framePr w:hSpace="180" w:wrap="around" w:vAnchor="text" w:hAnchor="text" w:y="1"/>
        <w:numPr>
          <w:ilvl w:val="0"/>
          <w:numId w:val="13"/>
        </w:numPr>
        <w:spacing w:after="120" w:line="276" w:lineRule="auto"/>
        <w:suppressOverlap/>
        <w:rPr>
          <w:rFonts w:ascii="Calibri" w:hAnsi="Calibri" w:cs="Calibri"/>
          <w:sz w:val="22"/>
          <w:szCs w:val="22"/>
          <w:lang w:val="en-US"/>
        </w:rPr>
      </w:pPr>
      <w:r w:rsidRPr="00534250">
        <w:rPr>
          <w:rFonts w:ascii="Calibri" w:hAnsi="Calibri" w:cs="Calibri"/>
          <w:sz w:val="22"/>
          <w:szCs w:val="22"/>
          <w:lang w:val="en-US"/>
        </w:rPr>
        <w:t>List leadership styles</w:t>
      </w:r>
    </w:p>
    <w:p w14:paraId="591A5A46" w14:textId="77777777" w:rsidR="00827393" w:rsidRPr="00534250" w:rsidRDefault="00827393" w:rsidP="00827393">
      <w:pPr>
        <w:rPr>
          <w:b/>
          <w:bCs/>
          <w:lang w:val="en-US"/>
        </w:rPr>
      </w:pPr>
      <w:r w:rsidRPr="00534250">
        <w:rPr>
          <w:b/>
          <w:bCs/>
          <w:lang w:val="en-US"/>
        </w:rPr>
        <w:t>Citizen engagement and New Media</w:t>
      </w:r>
    </w:p>
    <w:p w14:paraId="63061E66" w14:textId="77777777" w:rsidR="00827393" w:rsidRPr="00534250" w:rsidRDefault="00827393" w:rsidP="00827393">
      <w:pPr>
        <w:spacing w:after="0" w:line="240" w:lineRule="auto"/>
        <w:rPr>
          <w:rFonts w:ascii="Calibri" w:eastAsia="Calibri" w:hAnsi="Calibri" w:cs="Times New Roman"/>
          <w:lang w:val="en-US"/>
        </w:rPr>
      </w:pPr>
      <w:r w:rsidRPr="00534250">
        <w:rPr>
          <w:rFonts w:ascii="Calibri" w:eastAsia="Calibri" w:hAnsi="Calibri" w:cs="Times New Roman"/>
          <w:lang w:val="en-US"/>
        </w:rPr>
        <w:lastRenderedPageBreak/>
        <w:t xml:space="preserve">The media, the principal vehicle for freedom of expression, are therefore at the very heart of the problem of governance: they navigate within legal frameworks, sympathetic to freedom of expression; they organize themselves in defense of their credibility (codes of ethics, self-regulation); they make more or less proper use of their margin of freedom to address a society on the move, and they take part in campaigns in support of governance. Today, social media generate new potential for the media, while they give power to the public to express their will. </w:t>
      </w:r>
    </w:p>
    <w:p w14:paraId="7CC90944" w14:textId="77777777" w:rsidR="00827393" w:rsidRPr="00534250" w:rsidRDefault="00827393" w:rsidP="00827393">
      <w:pPr>
        <w:spacing w:after="0" w:line="240" w:lineRule="auto"/>
        <w:rPr>
          <w:rFonts w:ascii="Calibri" w:eastAsia="Calibri" w:hAnsi="Calibri" w:cs="Times New Roman"/>
          <w:lang w:val="en-US"/>
        </w:rPr>
      </w:pPr>
      <w:r w:rsidRPr="00534250">
        <w:rPr>
          <w:rFonts w:ascii="Calibri" w:eastAsia="Calibri" w:hAnsi="Calibri" w:cs="Times New Roman"/>
          <w:lang w:val="en-US"/>
        </w:rPr>
        <w:t>There are the following distinguishing roles for media and governance:</w:t>
      </w:r>
    </w:p>
    <w:p w14:paraId="47756A37" w14:textId="77777777" w:rsidR="00827393" w:rsidRPr="00534250" w:rsidRDefault="00827393" w:rsidP="00827393">
      <w:pPr>
        <w:numPr>
          <w:ilvl w:val="0"/>
          <w:numId w:val="14"/>
        </w:numPr>
        <w:spacing w:after="0" w:line="240" w:lineRule="auto"/>
        <w:contextualSpacing/>
        <w:jc w:val="left"/>
        <w:rPr>
          <w:rFonts w:ascii="Calibri" w:eastAsia="Calibri" w:hAnsi="Calibri" w:cs="Times New Roman"/>
          <w:lang w:val="en-US"/>
        </w:rPr>
      </w:pPr>
      <w:r w:rsidRPr="00534250">
        <w:rPr>
          <w:rFonts w:ascii="Calibri" w:eastAsia="Calibri" w:hAnsi="Calibri" w:cs="Times New Roman"/>
          <w:lang w:val="en-US"/>
        </w:rPr>
        <w:t>Governance through the media: use of the media for targeted campaigns concerning</w:t>
      </w:r>
    </w:p>
    <w:p w14:paraId="7E78AB33" w14:textId="77777777" w:rsidR="00827393" w:rsidRPr="00534250" w:rsidRDefault="00827393" w:rsidP="00827393">
      <w:pPr>
        <w:spacing w:after="0" w:line="240" w:lineRule="auto"/>
        <w:ind w:left="720"/>
        <w:contextualSpacing/>
        <w:rPr>
          <w:rFonts w:ascii="Calibri" w:eastAsia="Calibri" w:hAnsi="Calibri" w:cs="Times New Roman"/>
          <w:lang w:val="en-US"/>
        </w:rPr>
      </w:pPr>
      <w:r w:rsidRPr="00534250">
        <w:rPr>
          <w:rFonts w:ascii="Calibri" w:eastAsia="Calibri" w:hAnsi="Calibri" w:cs="Times New Roman"/>
          <w:lang w:val="en-US"/>
        </w:rPr>
        <w:t xml:space="preserve">human rights, the fight against corruption, information in times of conflict, political crises, or natural disasters, etc. </w:t>
      </w:r>
    </w:p>
    <w:p w14:paraId="764CC0F4" w14:textId="77777777" w:rsidR="00827393" w:rsidRPr="00534250" w:rsidRDefault="00827393" w:rsidP="00827393">
      <w:pPr>
        <w:numPr>
          <w:ilvl w:val="0"/>
          <w:numId w:val="14"/>
        </w:numPr>
        <w:spacing w:after="0" w:line="240" w:lineRule="auto"/>
        <w:contextualSpacing/>
        <w:jc w:val="left"/>
        <w:rPr>
          <w:rFonts w:ascii="Calibri" w:eastAsia="Calibri" w:hAnsi="Calibri" w:cs="Times New Roman"/>
          <w:lang w:val="en-US"/>
        </w:rPr>
      </w:pPr>
      <w:r w:rsidRPr="00534250">
        <w:rPr>
          <w:rFonts w:ascii="Calibri" w:eastAsia="Calibri" w:hAnsi="Calibri" w:cs="Times New Roman"/>
          <w:lang w:val="en-US"/>
        </w:rPr>
        <w:t>Governance for the media: framework conditions for media activity.</w:t>
      </w:r>
    </w:p>
    <w:p w14:paraId="7993538A" w14:textId="77777777" w:rsidR="00827393" w:rsidRPr="00534250" w:rsidRDefault="00827393" w:rsidP="00827393">
      <w:pPr>
        <w:numPr>
          <w:ilvl w:val="0"/>
          <w:numId w:val="14"/>
        </w:numPr>
        <w:spacing w:after="0" w:line="240" w:lineRule="auto"/>
        <w:contextualSpacing/>
        <w:jc w:val="left"/>
        <w:rPr>
          <w:rFonts w:ascii="Calibri" w:eastAsia="Calibri" w:hAnsi="Calibri" w:cs="Times New Roman"/>
          <w:lang w:val="en-US"/>
        </w:rPr>
      </w:pPr>
      <w:r w:rsidRPr="00534250">
        <w:rPr>
          <w:rFonts w:ascii="Calibri" w:eastAsia="Calibri" w:hAnsi="Calibri" w:cs="Times New Roman"/>
          <w:lang w:val="en-US"/>
        </w:rPr>
        <w:t>Governance in the media: internal rules that the professionals impose on themselves.</w:t>
      </w:r>
    </w:p>
    <w:p w14:paraId="23F8BB90" w14:textId="77777777" w:rsidR="00827393" w:rsidRPr="00534250" w:rsidRDefault="00827393" w:rsidP="00827393">
      <w:pPr>
        <w:spacing w:after="0" w:line="240" w:lineRule="auto"/>
        <w:ind w:left="720"/>
        <w:contextualSpacing/>
        <w:jc w:val="left"/>
        <w:rPr>
          <w:rFonts w:ascii="Calibri" w:eastAsia="Calibri" w:hAnsi="Calibri" w:cs="Times New Roman"/>
          <w:lang w:val="en-US"/>
        </w:rPr>
      </w:pPr>
    </w:p>
    <w:p w14:paraId="1840427B" w14:textId="77777777" w:rsidR="00827393" w:rsidRPr="00534250" w:rsidRDefault="00827393" w:rsidP="00827393">
      <w:pPr>
        <w:spacing w:after="0" w:line="240" w:lineRule="auto"/>
        <w:contextualSpacing/>
        <w:jc w:val="left"/>
        <w:rPr>
          <w:rFonts w:ascii="Calibri" w:eastAsia="Calibri" w:hAnsi="Calibri" w:cs="Times New Roman"/>
          <w:lang w:val="en-US"/>
        </w:rPr>
      </w:pPr>
      <w:r w:rsidRPr="00534250">
        <w:rPr>
          <w:b/>
          <w:bCs/>
          <w:lang w:val="en-US"/>
        </w:rPr>
        <w:t>Research Methods and Skills</w:t>
      </w:r>
    </w:p>
    <w:p w14:paraId="744320E0" w14:textId="77777777" w:rsidR="00827393" w:rsidRPr="00534250" w:rsidRDefault="00827393" w:rsidP="00827393">
      <w:pPr>
        <w:framePr w:hSpace="180" w:wrap="around" w:vAnchor="text" w:hAnchor="text" w:y="1"/>
        <w:spacing w:after="120" w:line="276" w:lineRule="auto"/>
        <w:suppressOverlap/>
        <w:rPr>
          <w:rFonts w:ascii="Calibri" w:eastAsia="Calibri" w:hAnsi="Calibri" w:cs="Times New Roman"/>
          <w:lang w:val="en-US"/>
        </w:rPr>
      </w:pPr>
      <w:r w:rsidRPr="00534250">
        <w:rPr>
          <w:rFonts w:ascii="Calibri" w:eastAsia="Calibri" w:hAnsi="Calibri" w:cs="Times New Roman"/>
          <w:lang w:val="en-US"/>
        </w:rPr>
        <w:t>Research has become an indispensable component of eligibility for a degree. The education programmes in the universities may vary, but practically in all such programs there is a requirement of research.</w:t>
      </w:r>
    </w:p>
    <w:p w14:paraId="4E513A6B" w14:textId="77777777" w:rsidR="00827393" w:rsidRPr="00534250" w:rsidRDefault="00827393" w:rsidP="00827393">
      <w:pPr>
        <w:framePr w:hSpace="180" w:wrap="around" w:vAnchor="text" w:hAnchor="text" w:y="1"/>
        <w:spacing w:after="120" w:line="276" w:lineRule="auto"/>
        <w:suppressOverlap/>
        <w:rPr>
          <w:rFonts w:ascii="Calibri" w:eastAsia="Calibri" w:hAnsi="Calibri" w:cs="Times New Roman"/>
          <w:lang w:val="en-US"/>
        </w:rPr>
      </w:pPr>
      <w:r w:rsidRPr="00534250">
        <w:rPr>
          <w:rFonts w:ascii="Calibri" w:eastAsia="Calibri" w:hAnsi="Calibri" w:cs="Times New Roman"/>
          <w:lang w:val="en-US"/>
        </w:rPr>
        <w:t>In this module, students are first introduced to the concept of research along with definitions of, the reasons for conducting research, where it is conducted, how it is done, and by whom. It is followed by an important question 'why research' and finally it addresses the attributes of quality research. Furthermore, you will have an overview of the kinds of research under the qualitative and quantitative paradigm. Additionally, the research process has to adhere to some ethics.</w:t>
      </w:r>
    </w:p>
    <w:p w14:paraId="1D3AFD41" w14:textId="77777777" w:rsidR="00827393" w:rsidRPr="00534250" w:rsidRDefault="00827393" w:rsidP="00827393">
      <w:pPr>
        <w:framePr w:hSpace="180" w:wrap="around" w:vAnchor="text" w:hAnchor="text" w:y="1"/>
        <w:spacing w:after="120" w:line="276" w:lineRule="auto"/>
        <w:suppressOverlap/>
        <w:rPr>
          <w:rFonts w:ascii="Calibri" w:eastAsia="Calibri" w:hAnsi="Calibri" w:cs="Times New Roman"/>
          <w:lang w:val="en-US"/>
        </w:rPr>
      </w:pPr>
      <w:r w:rsidRPr="00534250">
        <w:rPr>
          <w:rFonts w:ascii="Calibri" w:eastAsia="Calibri" w:hAnsi="Calibri" w:cs="Times New Roman"/>
          <w:lang w:val="en-US"/>
        </w:rPr>
        <w:t>Learning outcomes: demonstrate knowledge of</w:t>
      </w:r>
    </w:p>
    <w:p w14:paraId="7B126D0B" w14:textId="77777777" w:rsidR="00827393" w:rsidRPr="00534250" w:rsidRDefault="00827393" w:rsidP="00827393">
      <w:pPr>
        <w:framePr w:hSpace="180" w:wrap="around" w:vAnchor="text" w:hAnchor="text" w:y="1"/>
        <w:numPr>
          <w:ilvl w:val="0"/>
          <w:numId w:val="15"/>
        </w:numPr>
        <w:spacing w:after="120" w:line="276" w:lineRule="auto"/>
        <w:contextualSpacing/>
        <w:suppressOverlap/>
        <w:jc w:val="left"/>
        <w:rPr>
          <w:rFonts w:ascii="Calibri" w:eastAsia="Calibri" w:hAnsi="Calibri" w:cs="Times New Roman"/>
          <w:lang w:val="en-US"/>
        </w:rPr>
      </w:pPr>
      <w:r w:rsidRPr="00534250">
        <w:rPr>
          <w:rFonts w:ascii="Calibri" w:eastAsia="Calibri" w:hAnsi="Calibri" w:cs="Times New Roman"/>
          <w:lang w:val="en-US"/>
        </w:rPr>
        <w:t>the concept of research</w:t>
      </w:r>
    </w:p>
    <w:p w14:paraId="0CEE3550" w14:textId="77777777" w:rsidR="00827393" w:rsidRPr="00534250" w:rsidRDefault="00827393" w:rsidP="00827393">
      <w:pPr>
        <w:framePr w:hSpace="180" w:wrap="around" w:vAnchor="text" w:hAnchor="text" w:y="1"/>
        <w:numPr>
          <w:ilvl w:val="0"/>
          <w:numId w:val="15"/>
        </w:numPr>
        <w:spacing w:after="120" w:line="276" w:lineRule="auto"/>
        <w:contextualSpacing/>
        <w:suppressOverlap/>
        <w:jc w:val="left"/>
        <w:rPr>
          <w:rFonts w:ascii="Calibri" w:eastAsia="Calibri" w:hAnsi="Calibri" w:cs="Times New Roman"/>
          <w:lang w:val="en-US"/>
        </w:rPr>
      </w:pPr>
      <w:r w:rsidRPr="00534250">
        <w:rPr>
          <w:rFonts w:ascii="Calibri" w:eastAsia="Calibri" w:hAnsi="Calibri" w:cs="Times New Roman"/>
          <w:lang w:val="en-US"/>
        </w:rPr>
        <w:t>the reasons for conducting research, where it is conducted, how it is done, and by whom.</w:t>
      </w:r>
    </w:p>
    <w:p w14:paraId="297FEA59" w14:textId="77777777" w:rsidR="00827393" w:rsidRPr="00534250" w:rsidRDefault="00827393" w:rsidP="00827393">
      <w:pPr>
        <w:framePr w:hSpace="180" w:wrap="around" w:vAnchor="text" w:hAnchor="text" w:y="1"/>
        <w:numPr>
          <w:ilvl w:val="0"/>
          <w:numId w:val="15"/>
        </w:numPr>
        <w:spacing w:after="120" w:line="276" w:lineRule="auto"/>
        <w:contextualSpacing/>
        <w:suppressOverlap/>
        <w:jc w:val="left"/>
        <w:rPr>
          <w:rFonts w:ascii="Calibri" w:eastAsia="Calibri" w:hAnsi="Calibri" w:cs="Times New Roman"/>
          <w:lang w:val="en-US"/>
        </w:rPr>
      </w:pPr>
      <w:r w:rsidRPr="00534250">
        <w:rPr>
          <w:rFonts w:ascii="Calibri" w:eastAsia="Calibri" w:hAnsi="Calibri" w:cs="Times New Roman"/>
          <w:lang w:val="en-US"/>
        </w:rPr>
        <w:t>why research</w:t>
      </w:r>
    </w:p>
    <w:p w14:paraId="2B4E1939" w14:textId="77777777" w:rsidR="00827393" w:rsidRPr="00534250" w:rsidRDefault="00827393" w:rsidP="00827393">
      <w:pPr>
        <w:framePr w:hSpace="180" w:wrap="around" w:vAnchor="text" w:hAnchor="text" w:y="1"/>
        <w:numPr>
          <w:ilvl w:val="0"/>
          <w:numId w:val="15"/>
        </w:numPr>
        <w:spacing w:after="120" w:line="276" w:lineRule="auto"/>
        <w:contextualSpacing/>
        <w:suppressOverlap/>
        <w:jc w:val="left"/>
        <w:rPr>
          <w:rFonts w:ascii="Calibri" w:eastAsia="Calibri" w:hAnsi="Calibri" w:cs="Times New Roman"/>
          <w:lang w:val="en-US"/>
        </w:rPr>
      </w:pPr>
      <w:r w:rsidRPr="00534250">
        <w:rPr>
          <w:rFonts w:ascii="Calibri" w:eastAsia="Calibri" w:hAnsi="Calibri" w:cs="Times New Roman"/>
          <w:lang w:val="en-US"/>
        </w:rPr>
        <w:t>the attributes of quality research.</w:t>
      </w:r>
    </w:p>
    <w:p w14:paraId="6E2A5EB8" w14:textId="77777777" w:rsidR="00827393" w:rsidRPr="00534250" w:rsidRDefault="00827393" w:rsidP="00827393">
      <w:pPr>
        <w:framePr w:hSpace="180" w:wrap="around" w:vAnchor="text" w:hAnchor="text" w:y="1"/>
        <w:numPr>
          <w:ilvl w:val="0"/>
          <w:numId w:val="15"/>
        </w:numPr>
        <w:spacing w:after="120" w:line="276" w:lineRule="auto"/>
        <w:contextualSpacing/>
        <w:suppressOverlap/>
        <w:jc w:val="left"/>
        <w:rPr>
          <w:rFonts w:ascii="Calibri" w:eastAsia="Calibri" w:hAnsi="Calibri" w:cs="Times New Roman"/>
          <w:lang w:val="en-US"/>
        </w:rPr>
      </w:pPr>
      <w:r w:rsidRPr="00534250">
        <w:rPr>
          <w:rFonts w:ascii="Calibri" w:eastAsia="Calibri" w:hAnsi="Calibri" w:cs="Times New Roman"/>
          <w:lang w:val="en-US"/>
        </w:rPr>
        <w:t>qualitative and quantitative research.</w:t>
      </w:r>
    </w:p>
    <w:p w14:paraId="20188255" w14:textId="62DFB756" w:rsidR="006D3752" w:rsidRPr="00827393" w:rsidRDefault="00827393" w:rsidP="00827393">
      <w:pPr>
        <w:framePr w:hSpace="180" w:wrap="around" w:vAnchor="text" w:hAnchor="text" w:y="1"/>
        <w:numPr>
          <w:ilvl w:val="0"/>
          <w:numId w:val="15"/>
        </w:numPr>
        <w:spacing w:after="120" w:line="276" w:lineRule="auto"/>
        <w:contextualSpacing/>
        <w:suppressOverlap/>
        <w:jc w:val="left"/>
        <w:rPr>
          <w:rFonts w:ascii="Calibri" w:eastAsia="Calibri" w:hAnsi="Calibri" w:cs="Times New Roman"/>
          <w:lang w:val="en-US"/>
        </w:rPr>
      </w:pPr>
      <w:r w:rsidRPr="00534250">
        <w:rPr>
          <w:rFonts w:ascii="Calibri" w:eastAsia="Calibri" w:hAnsi="Calibri" w:cs="Times New Roman"/>
          <w:lang w:val="en-US"/>
        </w:rPr>
        <w:t>ethics of research</w:t>
      </w:r>
    </w:p>
    <w:p w14:paraId="674CCC98" w14:textId="77777777" w:rsidR="006D3752" w:rsidRDefault="006D3752" w:rsidP="006D3752">
      <w:pPr>
        <w:rPr>
          <w:lang w:val="en-US" w:eastAsia="ko-KR"/>
        </w:rPr>
      </w:pPr>
    </w:p>
    <w:p w14:paraId="0851DBA2" w14:textId="77777777" w:rsidR="006D3752" w:rsidRDefault="006D3752" w:rsidP="006D3752">
      <w:pPr>
        <w:pStyle w:val="2"/>
        <w:spacing w:before="0" w:after="120" w:line="254" w:lineRule="auto"/>
        <w:rPr>
          <w:sz w:val="26"/>
          <w:lang w:val="en-US"/>
        </w:rPr>
      </w:pPr>
      <w:bookmarkStart w:id="17" w:name="_Toc197974936"/>
      <w:bookmarkStart w:id="18" w:name="_Toc197974977"/>
      <w:r w:rsidRPr="00257782">
        <w:rPr>
          <w:rStyle w:val="normalchar1"/>
          <w:sz w:val="26"/>
          <w:lang w:val="en-US"/>
        </w:rPr>
        <w:t>ARTICLE 7. DISTANCE LEARNING</w:t>
      </w:r>
      <w:bookmarkEnd w:id="17"/>
      <w:bookmarkEnd w:id="18"/>
    </w:p>
    <w:p w14:paraId="4763855B" w14:textId="77777777" w:rsidR="006D3752" w:rsidRDefault="006D3752" w:rsidP="006D3752">
      <w:pPr>
        <w:spacing w:after="120"/>
        <w:rPr>
          <w:lang w:val="en-US" w:eastAsia="ko-KR"/>
        </w:rPr>
      </w:pPr>
      <w:r>
        <w:rPr>
          <w:b/>
          <w:lang w:val="en-US" w:eastAsia="ko-KR"/>
        </w:rPr>
        <w:t xml:space="preserve">7.1. </w:t>
      </w:r>
      <w:r>
        <w:rPr>
          <w:lang w:val="en-US" w:eastAsia="ko-KR"/>
        </w:rPr>
        <w:t>Modern distance learning.</w:t>
      </w:r>
    </w:p>
    <w:p w14:paraId="4FFFD40B" w14:textId="77777777" w:rsidR="006D3752" w:rsidRDefault="006D3752" w:rsidP="006D3752">
      <w:pPr>
        <w:spacing w:after="120"/>
        <w:rPr>
          <w:lang w:val="en-US" w:eastAsia="ko-KR"/>
        </w:rPr>
      </w:pPr>
      <w:r>
        <w:rPr>
          <w:lang w:val="en-US" w:eastAsia="ko-KR"/>
        </w:rPr>
        <w:t xml:space="preserve">The organisation of the educational process of the </w:t>
      </w:r>
      <w:r>
        <w:rPr>
          <w:rFonts w:cs="Calibri"/>
          <w:color w:val="000000"/>
          <w:lang w:val="en-US"/>
        </w:rPr>
        <w:t xml:space="preserve">MSc </w:t>
      </w:r>
      <w:r>
        <w:rPr>
          <w:lang w:val="en-US" w:eastAsia="ko-KR"/>
        </w:rPr>
        <w:t xml:space="preserve">may also be carried out using modern distance learning methods. The organisation of courses and other educational activities using distance education methods refers to courses and educational activities which, by their nature, can be supported by the use of distance education methods and do not involve practical, laboratory or clinical training of the students, which require the participation of the students in physical presence. </w:t>
      </w:r>
    </w:p>
    <w:p w14:paraId="247677A0" w14:textId="77777777" w:rsidR="006D3752" w:rsidRDefault="006D3752" w:rsidP="006D3752">
      <w:pPr>
        <w:spacing w:after="120"/>
        <w:rPr>
          <w:lang w:val="en-US" w:eastAsia="ko-KR"/>
        </w:rPr>
      </w:pPr>
      <w:r>
        <w:rPr>
          <w:lang w:val="en-US" w:eastAsia="ko-KR"/>
        </w:rPr>
        <w:t>The support of the teaching staff and students on issues related to the e-learning system is provided at the first level (Department) by the Head of Department and at the second level (Institution) by the Digital Governance Unit of the University of Thessaly.</w:t>
      </w:r>
    </w:p>
    <w:p w14:paraId="6FD7EF7E" w14:textId="77777777" w:rsidR="006D3752" w:rsidRDefault="006D3752" w:rsidP="006D3752">
      <w:pPr>
        <w:spacing w:after="120"/>
        <w:rPr>
          <w:lang w:val="en-US" w:eastAsia="ko-KR"/>
        </w:rPr>
      </w:pPr>
      <w:r>
        <w:rPr>
          <w:b/>
          <w:lang w:val="en-US" w:eastAsia="ko-KR"/>
        </w:rPr>
        <w:t xml:space="preserve">7.2. </w:t>
      </w:r>
      <w:r>
        <w:rPr>
          <w:lang w:val="en-US" w:eastAsia="ko-KR"/>
        </w:rPr>
        <w:t>Asynchronous distance learning.</w:t>
      </w:r>
    </w:p>
    <w:p w14:paraId="4A0BA1B8" w14:textId="77777777" w:rsidR="006D3752" w:rsidRDefault="006D3752" w:rsidP="006D3752">
      <w:pPr>
        <w:spacing w:after="120"/>
        <w:rPr>
          <w:lang w:val="en-US" w:eastAsia="ko-KR"/>
        </w:rPr>
      </w:pPr>
      <w:r>
        <w:rPr>
          <w:lang w:val="en-US" w:eastAsia="ko-KR"/>
        </w:rPr>
        <w:t>The educational process may be carried out using asynchronous distance learning methods, which do not exceed twenty-five percent (25%) of the credit hours of the MSc.</w:t>
      </w:r>
    </w:p>
    <w:p w14:paraId="3B47EDE1" w14:textId="5B8225F8" w:rsidR="006D3752" w:rsidRDefault="00B65A55" w:rsidP="006D3752">
      <w:pPr>
        <w:spacing w:after="120"/>
        <w:rPr>
          <w:lang w:val="en-US" w:eastAsia="ko-KR"/>
        </w:rPr>
      </w:pPr>
      <w:r>
        <w:rPr>
          <w:lang w:val="en-US" w:eastAsia="ko-KR"/>
        </w:rPr>
        <w:t>The University of Thessaly</w:t>
      </w:r>
      <w:r w:rsidR="006D3752">
        <w:rPr>
          <w:lang w:val="en-US" w:eastAsia="ko-KR"/>
        </w:rPr>
        <w:t xml:space="preserve"> has an electronic platform on which educational material can be posted per course (notes, presentations, exercises). </w:t>
      </w:r>
    </w:p>
    <w:p w14:paraId="517DA901" w14:textId="77777777" w:rsidR="006D3752" w:rsidRDefault="006D3752" w:rsidP="006D3752">
      <w:pPr>
        <w:spacing w:after="120"/>
        <w:rPr>
          <w:lang w:val="en-US" w:eastAsia="ko-KR"/>
        </w:rPr>
      </w:pPr>
      <w:r>
        <w:rPr>
          <w:lang w:val="en-US" w:eastAsia="ko-KR"/>
        </w:rPr>
        <w:t>The online platform is also accessible to people with disabilities.</w:t>
      </w:r>
    </w:p>
    <w:p w14:paraId="5CC96427" w14:textId="77777777" w:rsidR="006D3752" w:rsidRDefault="006D3752" w:rsidP="006D3752">
      <w:pPr>
        <w:spacing w:after="120"/>
        <w:rPr>
          <w:lang w:val="en-US" w:eastAsia="ko-KR"/>
        </w:rPr>
      </w:pPr>
    </w:p>
    <w:p w14:paraId="35140F60" w14:textId="77777777" w:rsidR="006D3752" w:rsidRDefault="006D3752" w:rsidP="006D3752">
      <w:pPr>
        <w:pStyle w:val="2"/>
        <w:spacing w:before="0" w:after="120" w:line="254" w:lineRule="auto"/>
        <w:rPr>
          <w:sz w:val="26"/>
          <w:lang w:val="en-US"/>
        </w:rPr>
      </w:pPr>
      <w:bookmarkStart w:id="19" w:name="_Toc197974937"/>
      <w:bookmarkStart w:id="20" w:name="_Toc197974978"/>
      <w:r w:rsidRPr="00257782">
        <w:rPr>
          <w:rStyle w:val="normalchar1"/>
          <w:sz w:val="26"/>
          <w:lang w:val="en-US"/>
        </w:rPr>
        <w:t>ARTICLE 8. EXAMINATIONS AND EVALUATION OF POSTGRADUATE STUDENTS</w:t>
      </w:r>
      <w:bookmarkEnd w:id="19"/>
      <w:bookmarkEnd w:id="20"/>
      <w:r w:rsidRPr="00257782">
        <w:rPr>
          <w:rStyle w:val="normalchar1"/>
          <w:sz w:val="26"/>
          <w:lang w:val="en-US"/>
        </w:rPr>
        <w:t xml:space="preserve"> </w:t>
      </w:r>
    </w:p>
    <w:p w14:paraId="5D9E9C3B" w14:textId="77777777" w:rsidR="006D3752" w:rsidRDefault="006D3752" w:rsidP="006D3752">
      <w:pPr>
        <w:spacing w:after="120"/>
        <w:rPr>
          <w:lang w:val="en-US" w:eastAsia="ko-KR"/>
        </w:rPr>
      </w:pPr>
      <w:r>
        <w:rPr>
          <w:b/>
          <w:lang w:val="en-US" w:eastAsia="ko-KR"/>
        </w:rPr>
        <w:t xml:space="preserve">8.1 </w:t>
      </w:r>
      <w:r>
        <w:rPr>
          <w:lang w:val="en-US" w:eastAsia="ko-KR"/>
        </w:rPr>
        <w:t xml:space="preserve">Each cycle (duration) of the </w:t>
      </w:r>
      <w:r>
        <w:rPr>
          <w:rFonts w:cs="Calibri"/>
          <w:color w:val="000000"/>
          <w:lang w:val="en-US"/>
        </w:rPr>
        <w:t xml:space="preserve">MSc </w:t>
      </w:r>
      <w:r>
        <w:rPr>
          <w:lang w:val="en-US" w:eastAsia="ko-KR"/>
        </w:rPr>
        <w:t>leading to a Diploma of Postgraduate Studies is three semesters. Each semester includes thirteen (13) weeks of instruction and two weeks for the written examination or for the submission and examination of scientific papers. The Master's Thesis is submitted according to the academic calendar, at the earliest at the end of the third semester and then in each subsequent examination period.</w:t>
      </w:r>
    </w:p>
    <w:p w14:paraId="28DC72C7" w14:textId="1AF13CBD" w:rsidR="006D3752" w:rsidRDefault="006D3752" w:rsidP="006D3752">
      <w:pPr>
        <w:spacing w:after="120"/>
        <w:rPr>
          <w:lang w:val="en-US" w:eastAsia="ko-KR"/>
        </w:rPr>
      </w:pPr>
      <w:r>
        <w:rPr>
          <w:b/>
          <w:lang w:val="en-US" w:eastAsia="ko-KR"/>
        </w:rPr>
        <w:t xml:space="preserve">8.2 </w:t>
      </w:r>
      <w:r>
        <w:rPr>
          <w:lang w:val="en-US" w:eastAsia="ko-KR"/>
        </w:rPr>
        <w:t xml:space="preserve">In case of an impediment to the course, the course will be made up. The date and times of the make-up are posted on the website of the </w:t>
      </w:r>
      <w:r w:rsidR="00542CB3">
        <w:rPr>
          <w:lang w:val="en-US" w:eastAsia="ko-KR"/>
        </w:rPr>
        <w:t>PSP.</w:t>
      </w:r>
    </w:p>
    <w:p w14:paraId="2C2C12FD" w14:textId="77777777" w:rsidR="006D3752" w:rsidRDefault="006D3752" w:rsidP="006D3752">
      <w:pPr>
        <w:spacing w:after="120"/>
        <w:rPr>
          <w:lang w:val="en-US" w:eastAsia="ko-KR"/>
        </w:rPr>
      </w:pPr>
      <w:r>
        <w:rPr>
          <w:b/>
          <w:lang w:val="en-US" w:eastAsia="ko-KR"/>
        </w:rPr>
        <w:t xml:space="preserve">8.3 </w:t>
      </w:r>
      <w:r>
        <w:rPr>
          <w:lang w:val="en-US" w:eastAsia="ko-KR"/>
        </w:rPr>
        <w:t xml:space="preserve">Attendance of the course is compulsory. The upper limit of permitted absences for each course is set at 30%. </w:t>
      </w:r>
    </w:p>
    <w:p w14:paraId="31E12D75" w14:textId="77777777" w:rsidR="006D3752" w:rsidRDefault="006D3752" w:rsidP="006D3752">
      <w:pPr>
        <w:spacing w:after="120"/>
        <w:rPr>
          <w:lang w:val="en-US" w:eastAsia="ko-KR"/>
        </w:rPr>
      </w:pPr>
      <w:r>
        <w:rPr>
          <w:b/>
          <w:lang w:val="en-US" w:eastAsia="ko-KR"/>
        </w:rPr>
        <w:t>8.4.</w:t>
      </w:r>
      <w:r>
        <w:rPr>
          <w:lang w:val="en-US" w:eastAsia="ko-KR"/>
        </w:rPr>
        <w:t xml:space="preserve">The declaration of the attendance courses is mandatory for each semester. Failure to meet the registration deadline will result in the loss of the opportunity to attend the current semester. In this case, a decision of the Departmental Assembly is required for the continuation of the course of study, following a proposal of the AC. </w:t>
      </w:r>
    </w:p>
    <w:p w14:paraId="2699A82A" w14:textId="77777777" w:rsidR="006D3752" w:rsidRDefault="006D3752" w:rsidP="006D3752">
      <w:pPr>
        <w:spacing w:after="120"/>
        <w:ind w:right="282"/>
        <w:outlineLvl w:val="6"/>
        <w:rPr>
          <w:lang w:val="en-US"/>
        </w:rPr>
      </w:pPr>
      <w:r>
        <w:rPr>
          <w:b/>
          <w:lang w:val="en-US" w:eastAsia="ko-KR"/>
        </w:rPr>
        <w:t xml:space="preserve">8.5. </w:t>
      </w:r>
      <w:r>
        <w:rPr>
          <w:lang w:val="en-US"/>
        </w:rPr>
        <w:t xml:space="preserve">The evaluation of postgraduate students is carried out at the end of each semester by means of written examinations or by means of assignments or a combination of the above. The method of evaluation and grading in each course is the sole responsibility of the instructor, is carried out in complete independence from other courses and is a derivative of the objective assessment of the student's performance in the course (assignments, examinations, etc.). The assessment criteria are clearly defined and are indicated on the information sheet for each course. </w:t>
      </w:r>
    </w:p>
    <w:p w14:paraId="6FD511BF" w14:textId="77777777" w:rsidR="006D3752" w:rsidRDefault="006D3752" w:rsidP="006D3752">
      <w:pPr>
        <w:spacing w:after="120"/>
        <w:ind w:right="282"/>
        <w:outlineLvl w:val="6"/>
        <w:rPr>
          <w:lang w:val="en-US"/>
        </w:rPr>
      </w:pPr>
      <w:r>
        <w:rPr>
          <w:lang w:val="en-US"/>
        </w:rPr>
        <w:t xml:space="preserve"> The rating scale is defined from zero to ten: Excellent (8.5 to 10), Very Good (6.5 to 8.5 not including) and Good (5 to 6.5 not including).</w:t>
      </w:r>
    </w:p>
    <w:p w14:paraId="5C16B8F5" w14:textId="22762F90" w:rsidR="006D3752" w:rsidRDefault="006D3752" w:rsidP="006D3752">
      <w:pPr>
        <w:spacing w:after="120"/>
        <w:ind w:right="282"/>
        <w:outlineLvl w:val="6"/>
        <w:rPr>
          <w:lang w:val="en-US"/>
        </w:rPr>
      </w:pPr>
      <w:r>
        <w:rPr>
          <w:lang w:val="en-US"/>
        </w:rPr>
        <w:t xml:space="preserve">The results of the examinations are announced by the lecturer and sent to the Secretariat of the </w:t>
      </w:r>
      <w:r w:rsidR="00542CB3">
        <w:rPr>
          <w:rFonts w:cs="Calibri"/>
          <w:color w:val="000000"/>
          <w:lang w:val="en-US"/>
        </w:rPr>
        <w:t>PSP.</w:t>
      </w:r>
      <w:r>
        <w:rPr>
          <w:rFonts w:cs="Calibri"/>
          <w:color w:val="000000"/>
          <w:lang w:val="en-US"/>
        </w:rPr>
        <w:t xml:space="preserve"> </w:t>
      </w:r>
      <w:r>
        <w:rPr>
          <w:lang w:val="en-US"/>
        </w:rPr>
        <w:t>within two weeks at the latest from the examination of the course.</w:t>
      </w:r>
    </w:p>
    <w:p w14:paraId="6EC2707C" w14:textId="77777777" w:rsidR="006D3752" w:rsidRDefault="006D3752" w:rsidP="006D3752">
      <w:pPr>
        <w:spacing w:after="120"/>
        <w:ind w:right="283"/>
        <w:rPr>
          <w:lang w:val="en-US"/>
        </w:rPr>
      </w:pPr>
      <w:r>
        <w:rPr>
          <w:lang w:val="en-US"/>
        </w:rPr>
        <w:t>If a student fails a course, he or she may be re-examined in that course in the re-examination.</w:t>
      </w:r>
    </w:p>
    <w:p w14:paraId="34622AF3" w14:textId="77777777" w:rsidR="006D3752" w:rsidRDefault="006D3752" w:rsidP="006D3752">
      <w:pPr>
        <w:spacing w:after="120"/>
        <w:ind w:right="283"/>
        <w:rPr>
          <w:lang w:val="en-US"/>
        </w:rPr>
      </w:pPr>
      <w:r>
        <w:rPr>
          <w:lang w:val="en-US"/>
        </w:rPr>
        <w:t xml:space="preserve">The maximum number of times a student may be reviewed in a course is up to one (1) time. If any student fails to obtain a projectable grade in the review periods, the student is considered to have failed to complete the obligations of the graduate course of study.  The </w:t>
      </w:r>
      <w:r>
        <w:rPr>
          <w:rFonts w:cs="Calibri"/>
          <w:lang w:val="en-US"/>
        </w:rPr>
        <w:t xml:space="preserve">HPS </w:t>
      </w:r>
      <w:r>
        <w:rPr>
          <w:lang w:val="en-US"/>
        </w:rPr>
        <w:t xml:space="preserve">may exceptionally consider a request for the student to be re-examined a further time. </w:t>
      </w:r>
    </w:p>
    <w:p w14:paraId="35168751" w14:textId="77777777" w:rsidR="006D3752" w:rsidRDefault="006D3752" w:rsidP="006D3752">
      <w:pPr>
        <w:spacing w:after="120"/>
        <w:ind w:right="282"/>
        <w:outlineLvl w:val="6"/>
        <w:rPr>
          <w:lang w:val="en-US"/>
        </w:rPr>
      </w:pPr>
      <w:r>
        <w:rPr>
          <w:b/>
          <w:lang w:val="en-US"/>
        </w:rPr>
        <w:t xml:space="preserve">8.6 </w:t>
      </w:r>
      <w:r>
        <w:rPr>
          <w:lang w:val="en-US"/>
        </w:rPr>
        <w:t>In order to deal with exceptional needs or circumstances of force majeure, alternative methods of evaluation, such as written or oral examinations using electronic means, may be applied, provided that the integrity of the evaluation process is ensured.</w:t>
      </w:r>
    </w:p>
    <w:p w14:paraId="3C51FC80" w14:textId="77777777" w:rsidR="006D3752" w:rsidRDefault="006D3752" w:rsidP="006D3752">
      <w:pPr>
        <w:spacing w:after="120"/>
        <w:ind w:right="282"/>
        <w:outlineLvl w:val="6"/>
        <w:rPr>
          <w:lang w:val="en-US"/>
        </w:rPr>
      </w:pPr>
      <w:r>
        <w:rPr>
          <w:b/>
          <w:lang w:val="en-US"/>
        </w:rPr>
        <w:t xml:space="preserve">8.7 </w:t>
      </w:r>
      <w:r>
        <w:rPr>
          <w:lang w:val="en-US"/>
        </w:rPr>
        <w:t>In cases of illness or recovery from serious illness, the lecturer is recommended to facilitate the student in any way he/she deems appropriate (e.g. oral remote examination). During oral examinations the teacher shall ensure that he/she is not alone with the student being examined.</w:t>
      </w:r>
    </w:p>
    <w:p w14:paraId="30509EAE" w14:textId="77777777" w:rsidR="006D3752" w:rsidRDefault="006D3752" w:rsidP="006D3752">
      <w:pPr>
        <w:spacing w:after="120"/>
        <w:ind w:right="282"/>
        <w:outlineLvl w:val="6"/>
        <w:rPr>
          <w:lang w:val="en-US"/>
        </w:rPr>
      </w:pPr>
      <w:r>
        <w:rPr>
          <w:b/>
          <w:lang w:val="en-US"/>
        </w:rPr>
        <w:t xml:space="preserve">8.8 </w:t>
      </w:r>
      <w:r>
        <w:rPr>
          <w:lang w:val="en-US"/>
        </w:rPr>
        <w:t>The assessment of students on second cycle programmes of study organised by distance learning methods may be carried out by means of distance examinations, provided that the impartiality of the assessment process is guaranteed.</w:t>
      </w:r>
    </w:p>
    <w:p w14:paraId="1FE44D6F" w14:textId="77777777" w:rsidR="006D3752" w:rsidRDefault="006D3752" w:rsidP="006D3752">
      <w:pPr>
        <w:spacing w:after="120"/>
        <w:ind w:right="282"/>
        <w:outlineLvl w:val="6"/>
        <w:rPr>
          <w:lang w:val="en-US"/>
        </w:rPr>
      </w:pPr>
      <w:r>
        <w:rPr>
          <w:b/>
          <w:lang w:val="en-US"/>
        </w:rPr>
        <w:t xml:space="preserve">8.9. </w:t>
      </w:r>
      <w:r>
        <w:rPr>
          <w:lang w:val="en-US"/>
        </w:rPr>
        <w:t>90 credits (ECTS) are required for the award of the Diploma of Postgraduate Studies, which are acquired after: a) the successful completion and examination of 12 courses and b) the preparation and successful examination of an original Diploma Thesis.</w:t>
      </w:r>
    </w:p>
    <w:p w14:paraId="147B5519" w14:textId="77777777" w:rsidR="006D3752" w:rsidRDefault="006D3752" w:rsidP="009B26FB">
      <w:pPr>
        <w:spacing w:after="120"/>
        <w:rPr>
          <w:rFonts w:cs="Calibri"/>
          <w:lang w:val="en-US"/>
        </w:rPr>
      </w:pPr>
      <w:r>
        <w:rPr>
          <w:rFonts w:cs="Calibri"/>
          <w:lang w:val="en-US"/>
        </w:rPr>
        <w:lastRenderedPageBreak/>
        <w:t xml:space="preserve">The grade of the </w:t>
      </w:r>
      <w:r>
        <w:rPr>
          <w:lang w:val="en-US"/>
        </w:rPr>
        <w:t xml:space="preserve">Diploma of Postgraduate Studies (D.M.S.) </w:t>
      </w:r>
      <w:r>
        <w:rPr>
          <w:rFonts w:cs="Calibri"/>
          <w:lang w:val="en-US"/>
        </w:rPr>
        <w:t xml:space="preserve">is the weighted average of the grades of the courses and the thesis based on the credits allocated to each course and the thesis, as specified in the M.A. </w:t>
      </w:r>
      <w:r>
        <w:rPr>
          <w:rFonts w:cs="Calibri"/>
        </w:rPr>
        <w:t>Φ</w:t>
      </w:r>
      <w:r>
        <w:rPr>
          <w:rFonts w:cs="Calibri"/>
          <w:lang w:val="en-US"/>
        </w:rPr>
        <w:t xml:space="preserve">141/B3/2166 (Government Gazette 308, 18.6.1987) according to the following formula (where credit units replace the weighting coefficients of the Y.A.), and more specifically the mathematical formula is as follows: </w:t>
      </w:r>
    </w:p>
    <w:p w14:paraId="5A7C5548" w14:textId="77777777" w:rsidR="006D3752" w:rsidRDefault="006D3752" w:rsidP="006D3752">
      <w:pPr>
        <w:spacing w:after="120"/>
        <w:ind w:firstLine="720"/>
        <w:rPr>
          <w:rFonts w:cs="Calibri"/>
        </w:rPr>
      </w:pPr>
      <m:oMathPara>
        <m:oMath>
          <m:r>
            <w:rPr>
              <w:rFonts w:ascii="Cambria Math" w:hAnsi="Cambria Math" w:cs="Calibri"/>
            </w:rPr>
            <m:t>β=</m:t>
          </m:r>
          <m:f>
            <m:fPr>
              <m:ctrlPr>
                <w:rPr>
                  <w:rFonts w:ascii="Cambria Math" w:hAnsi="Cambria Math"/>
                  <w:i/>
                </w:rPr>
              </m:ctrlPr>
            </m:fPr>
            <m:num>
              <m:r>
                <w:rPr>
                  <w:rFonts w:ascii="Cambria Math" w:hAnsi="Cambria Math" w:cs="Calibri"/>
                </w:rPr>
                <m:t>(</m:t>
              </m:r>
              <m:sSub>
                <m:sSubPr>
                  <m:ctrlPr>
                    <w:rPr>
                      <w:rFonts w:ascii="Cambria Math" w:hAnsi="Cambria Math"/>
                    </w:rPr>
                  </m:ctrlPr>
                </m:sSubPr>
                <m:e>
                  <m:r>
                    <w:rPr>
                      <w:rFonts w:ascii="Cambria Math" w:hAnsi="Cambria Math" w:cs="Calibri"/>
                    </w:rPr>
                    <m:t>β</m:t>
                  </m:r>
                </m:e>
                <m:sub>
                  <m:r>
                    <w:rPr>
                      <w:rFonts w:ascii="Cambria Math" w:hAnsi="Cambria Math" w:cs="Calibri"/>
                    </w:rPr>
                    <m:t>δ</m:t>
                  </m:r>
                </m:sub>
              </m:sSub>
              <m:r>
                <w:rPr>
                  <w:rFonts w:ascii="Cambria Math" w:hAnsi="Cambria Math" w:cs="Calibri"/>
                </w:rPr>
                <m:t>×</m:t>
              </m:r>
              <m:sSub>
                <m:sSubPr>
                  <m:ctrlPr>
                    <w:rPr>
                      <w:rFonts w:ascii="Cambria Math" w:hAnsi="Cambria Math"/>
                    </w:rPr>
                  </m:ctrlPr>
                </m:sSubPr>
                <m:e>
                  <m:r>
                    <w:rPr>
                      <w:rFonts w:ascii="Cambria Math" w:hAnsi="Cambria Math" w:cs="Calibri"/>
                    </w:rPr>
                    <m:t>π</m:t>
                  </m:r>
                </m:e>
                <m:sub>
                  <m:r>
                    <w:rPr>
                      <w:rFonts w:ascii="Cambria Math" w:hAnsi="Cambria Math" w:cs="Calibri"/>
                    </w:rPr>
                    <m:t>δ</m:t>
                  </m:r>
                </m:sub>
              </m:sSub>
              <m:r>
                <w:rPr>
                  <w:rFonts w:ascii="Cambria Math" w:hAnsi="Cambria Math" w:cs="Calibri"/>
                </w:rPr>
                <m:t>)+</m:t>
              </m:r>
              <m:nary>
                <m:naryPr>
                  <m:chr m:val="∑"/>
                  <m:grow m:val="1"/>
                  <m:ctrlPr>
                    <w:rPr>
                      <w:rFonts w:ascii="Cambria Math" w:hAnsi="Cambria Math"/>
                    </w:rPr>
                  </m:ctrlPr>
                </m:naryPr>
                <m:sub>
                  <m:r>
                    <w:rPr>
                      <w:rFonts w:ascii="Cambria Math" w:hAnsi="Cambria Math" w:cs="Calibri"/>
                    </w:rPr>
                    <m:t>i=1</m:t>
                  </m:r>
                </m:sub>
                <m:sup>
                  <m:r>
                    <w:rPr>
                      <w:rFonts w:ascii="Cambria Math" w:hAnsi="Cambria Math" w:cs="Calibri"/>
                    </w:rPr>
                    <m:t>N</m:t>
                  </m:r>
                </m:sup>
                <m:e>
                  <m:d>
                    <m:dPr>
                      <m:ctrlPr>
                        <w:rPr>
                          <w:rFonts w:ascii="Cambria Math" w:hAnsi="Cambria Math"/>
                        </w:rPr>
                      </m:ctrlPr>
                    </m:dPr>
                    <m:e>
                      <m:sSub>
                        <m:sSubPr>
                          <m:ctrlPr>
                            <w:rPr>
                              <w:rFonts w:ascii="Cambria Math" w:hAnsi="Cambria Math"/>
                            </w:rPr>
                          </m:ctrlPr>
                        </m:sSubPr>
                        <m:e>
                          <m:r>
                            <w:rPr>
                              <w:rFonts w:ascii="Cambria Math" w:hAnsi="Cambria Math" w:cs="Calibri"/>
                            </w:rPr>
                            <m:t>β</m:t>
                          </m:r>
                        </m:e>
                        <m:sub>
                          <m:r>
                            <w:rPr>
                              <w:rFonts w:ascii="Cambria Math" w:hAnsi="Cambria Math" w:cs="Calibri"/>
                            </w:rPr>
                            <m:t>i</m:t>
                          </m:r>
                        </m:sub>
                      </m:sSub>
                      <m:r>
                        <w:rPr>
                          <w:rFonts w:ascii="Cambria Math" w:hAnsi="Cambria Math" w:cs="Calibri"/>
                        </w:rPr>
                        <m:t>×</m:t>
                      </m:r>
                      <m:sSub>
                        <m:sSubPr>
                          <m:ctrlPr>
                            <w:rPr>
                              <w:rFonts w:ascii="Cambria Math" w:hAnsi="Cambria Math"/>
                            </w:rPr>
                          </m:ctrlPr>
                        </m:sSubPr>
                        <m:e>
                          <m:r>
                            <w:rPr>
                              <w:rFonts w:ascii="Cambria Math" w:hAnsi="Cambria Math" w:cs="Calibri"/>
                            </w:rPr>
                            <m:t>π</m:t>
                          </m:r>
                        </m:e>
                        <m:sub>
                          <m:r>
                            <w:rPr>
                              <w:rFonts w:ascii="Cambria Math" w:hAnsi="Cambria Math" w:cs="Calibri"/>
                            </w:rPr>
                            <m:t>i</m:t>
                          </m:r>
                        </m:sub>
                      </m:sSub>
                    </m:e>
                  </m:d>
                </m:e>
              </m:nary>
            </m:num>
            <m:den>
              <m:sSub>
                <m:sSubPr>
                  <m:ctrlPr>
                    <w:rPr>
                      <w:rFonts w:ascii="Cambria Math" w:hAnsi="Cambria Math"/>
                    </w:rPr>
                  </m:ctrlPr>
                </m:sSubPr>
                <m:e>
                  <m:r>
                    <w:rPr>
                      <w:rFonts w:ascii="Cambria Math" w:hAnsi="Cambria Math" w:cs="Calibri"/>
                    </w:rPr>
                    <m:t>π</m:t>
                  </m:r>
                </m:e>
                <m:sub>
                  <m:r>
                    <w:rPr>
                      <w:rFonts w:ascii="Cambria Math" w:hAnsi="Cambria Math" w:cs="Calibri"/>
                    </w:rPr>
                    <m:t>δ</m:t>
                  </m:r>
                </m:sub>
              </m:sSub>
              <m:r>
                <w:rPr>
                  <w:rFonts w:ascii="Cambria Math" w:hAnsi="Cambria Math" w:cs="Calibri"/>
                </w:rPr>
                <m:t>+</m:t>
              </m:r>
              <m:nary>
                <m:naryPr>
                  <m:chr m:val="∑"/>
                  <m:grow m:val="1"/>
                  <m:ctrlPr>
                    <w:rPr>
                      <w:rFonts w:ascii="Cambria Math" w:hAnsi="Cambria Math"/>
                    </w:rPr>
                  </m:ctrlPr>
                </m:naryPr>
                <m:sub>
                  <m:r>
                    <w:rPr>
                      <w:rFonts w:ascii="Cambria Math" w:hAnsi="Cambria Math" w:cs="Calibri"/>
                    </w:rPr>
                    <m:t>i=1</m:t>
                  </m:r>
                </m:sub>
                <m:sup>
                  <m:r>
                    <w:rPr>
                      <w:rFonts w:ascii="Cambria Math" w:hAnsi="Cambria Math" w:cs="Calibri"/>
                    </w:rPr>
                    <m:t>N</m:t>
                  </m:r>
                </m:sup>
                <m:e>
                  <m:r>
                    <w:rPr>
                      <w:rFonts w:ascii="Cambria Math" w:hAnsi="Cambria Math" w:cs="Calibri"/>
                    </w:rPr>
                    <m:t xml:space="preserve"> </m:t>
                  </m:r>
                  <m:d>
                    <m:dPr>
                      <m:ctrlPr>
                        <w:rPr>
                          <w:rFonts w:ascii="Cambria Math" w:hAnsi="Cambria Math"/>
                        </w:rPr>
                      </m:ctrlPr>
                    </m:dPr>
                    <m:e>
                      <m:sSub>
                        <m:sSubPr>
                          <m:ctrlPr>
                            <w:rPr>
                              <w:rFonts w:ascii="Cambria Math" w:hAnsi="Cambria Math"/>
                            </w:rPr>
                          </m:ctrlPr>
                        </m:sSubPr>
                        <m:e>
                          <m:r>
                            <w:rPr>
                              <w:rFonts w:ascii="Cambria Math" w:hAnsi="Cambria Math" w:cs="Calibri"/>
                            </w:rPr>
                            <m:t>π</m:t>
                          </m:r>
                        </m:e>
                        <m:sub>
                          <m:r>
                            <w:rPr>
                              <w:rFonts w:ascii="Cambria Math" w:hAnsi="Cambria Math" w:cs="Calibri"/>
                            </w:rPr>
                            <m:t>i</m:t>
                          </m:r>
                        </m:sub>
                      </m:sSub>
                    </m:e>
                  </m:d>
                </m:e>
              </m:nary>
            </m:den>
          </m:f>
        </m:oMath>
      </m:oMathPara>
    </w:p>
    <w:p w14:paraId="6EE083A5" w14:textId="77777777" w:rsidR="006D3752" w:rsidRDefault="006D3752" w:rsidP="0009649E">
      <w:pPr>
        <w:spacing w:after="0"/>
        <w:ind w:firstLine="720"/>
        <w:rPr>
          <w:rFonts w:cs="Calibri"/>
        </w:rPr>
      </w:pPr>
      <w:r>
        <w:rPr>
          <w:rFonts w:cs="Calibri"/>
        </w:rPr>
        <w:t xml:space="preserve">Where : </w:t>
      </w:r>
    </w:p>
    <w:p w14:paraId="36273EA3" w14:textId="77777777" w:rsidR="006D3752" w:rsidRDefault="006D3752" w:rsidP="0009649E">
      <w:pPr>
        <w:numPr>
          <w:ilvl w:val="0"/>
          <w:numId w:val="31"/>
        </w:numPr>
        <w:spacing w:after="0" w:line="254" w:lineRule="auto"/>
        <w:rPr>
          <w:rFonts w:cs="Calibri"/>
        </w:rPr>
      </w:pPr>
      <w:r>
        <w:rPr>
          <w:rFonts w:cs="Calibri"/>
        </w:rPr>
        <w:t>N = number of courses</w:t>
      </w:r>
    </w:p>
    <w:p w14:paraId="1A9ACA0F" w14:textId="77777777" w:rsidR="006D3752" w:rsidRDefault="006D3752" w:rsidP="0009649E">
      <w:pPr>
        <w:numPr>
          <w:ilvl w:val="0"/>
          <w:numId w:val="31"/>
        </w:numPr>
        <w:spacing w:after="0" w:line="254" w:lineRule="auto"/>
        <w:rPr>
          <w:rFonts w:cs="Calibri"/>
        </w:rPr>
      </w:pPr>
      <w:r>
        <w:rPr>
          <w:rFonts w:cs="Calibri"/>
        </w:rPr>
        <w:t>b</w:t>
      </w:r>
      <w:r>
        <w:rPr>
          <w:rFonts w:cs="Calibri"/>
          <w:vertAlign w:val="subscript"/>
        </w:rPr>
        <w:t>i</w:t>
      </w:r>
      <w:r>
        <w:rPr>
          <w:rFonts w:cs="Calibri"/>
        </w:rPr>
        <w:t xml:space="preserve"> = course grade i</w:t>
      </w:r>
    </w:p>
    <w:p w14:paraId="3F4668EE" w14:textId="77777777" w:rsidR="006D3752" w:rsidRDefault="006D3752" w:rsidP="0009649E">
      <w:pPr>
        <w:numPr>
          <w:ilvl w:val="0"/>
          <w:numId w:val="31"/>
        </w:numPr>
        <w:spacing w:after="0" w:line="254" w:lineRule="auto"/>
        <w:rPr>
          <w:rFonts w:cs="Calibri"/>
        </w:rPr>
      </w:pPr>
      <w:r>
        <w:rPr>
          <w:rFonts w:cs="Calibri"/>
        </w:rPr>
        <w:t>b</w:t>
      </w:r>
      <w:r>
        <w:rPr>
          <w:rFonts w:cs="Calibri"/>
          <w:vertAlign w:val="subscript"/>
        </w:rPr>
        <w:t>δ</w:t>
      </w:r>
      <w:r>
        <w:rPr>
          <w:rFonts w:cs="Calibri"/>
        </w:rPr>
        <w:t xml:space="preserve"> = postgraduate thesis grade</w:t>
      </w:r>
    </w:p>
    <w:p w14:paraId="0B34573E" w14:textId="282E90D7" w:rsidR="006D3752" w:rsidRDefault="006D3752" w:rsidP="0009649E">
      <w:pPr>
        <w:numPr>
          <w:ilvl w:val="0"/>
          <w:numId w:val="31"/>
        </w:numPr>
        <w:spacing w:after="0" w:line="254" w:lineRule="auto"/>
        <w:rPr>
          <w:rFonts w:cs="Calibri"/>
          <w:lang w:val="en-US"/>
        </w:rPr>
      </w:pPr>
      <w:r>
        <w:rPr>
          <w:rFonts w:cs="Calibri"/>
          <w:lang w:val="en-US"/>
        </w:rPr>
        <w:t>p</w:t>
      </w:r>
      <w:r>
        <w:rPr>
          <w:rFonts w:cs="Calibri"/>
          <w:vertAlign w:val="subscript"/>
        </w:rPr>
        <w:t>δ</w:t>
      </w:r>
      <w:r>
        <w:rPr>
          <w:rFonts w:cs="Calibri"/>
          <w:lang w:val="en-US"/>
        </w:rPr>
        <w:t xml:space="preserve"> = number of credits attributed to the </w:t>
      </w:r>
      <w:r w:rsidR="00263074">
        <w:rPr>
          <w:rFonts w:cs="Calibri"/>
          <w:lang w:val="en-US"/>
        </w:rPr>
        <w:t>Diploma Thesis</w:t>
      </w:r>
      <w:r>
        <w:rPr>
          <w:rFonts w:cs="Calibri"/>
          <w:lang w:val="en-US"/>
        </w:rPr>
        <w:t>.</w:t>
      </w:r>
    </w:p>
    <w:p w14:paraId="7203A4C3" w14:textId="77777777" w:rsidR="006D3752" w:rsidRDefault="006D3752" w:rsidP="0009649E">
      <w:pPr>
        <w:numPr>
          <w:ilvl w:val="0"/>
          <w:numId w:val="31"/>
        </w:numPr>
        <w:spacing w:after="0" w:line="254" w:lineRule="auto"/>
        <w:rPr>
          <w:rFonts w:cs="Calibri"/>
          <w:lang w:val="en-US"/>
        </w:rPr>
      </w:pPr>
      <w:r>
        <w:rPr>
          <w:rFonts w:cs="Calibri"/>
          <w:lang w:val="en-US"/>
        </w:rPr>
        <w:t>p</w:t>
      </w:r>
      <w:r>
        <w:rPr>
          <w:rFonts w:cs="Calibri"/>
          <w:vertAlign w:val="subscript"/>
          <w:lang w:val="en-US"/>
        </w:rPr>
        <w:t>i</w:t>
      </w:r>
      <w:r>
        <w:rPr>
          <w:rFonts w:cs="Calibri"/>
          <w:lang w:val="en-US"/>
        </w:rPr>
        <w:t xml:space="preserve"> = number of credits allocated to course i</w:t>
      </w:r>
    </w:p>
    <w:p w14:paraId="10D4B25F" w14:textId="596F23F4" w:rsidR="006D3752" w:rsidRDefault="006D3752" w:rsidP="0009649E">
      <w:pPr>
        <w:numPr>
          <w:ilvl w:val="0"/>
          <w:numId w:val="31"/>
        </w:numPr>
        <w:spacing w:after="0" w:line="254" w:lineRule="auto"/>
        <w:rPr>
          <w:rFonts w:cs="Calibri"/>
        </w:rPr>
      </w:pPr>
      <w:r>
        <w:rPr>
          <w:rFonts w:cs="Calibri"/>
        </w:rPr>
        <w:t xml:space="preserve">b = grade </w:t>
      </w:r>
      <w:r w:rsidR="00263074" w:rsidRPr="00263074">
        <w:rPr>
          <w:rFonts w:cs="Calibri"/>
          <w:lang w:val="en-US"/>
        </w:rPr>
        <w:t>Diploma Thesis</w:t>
      </w:r>
    </w:p>
    <w:p w14:paraId="4ACB9EC8" w14:textId="77777777" w:rsidR="006D3752" w:rsidRDefault="006D3752" w:rsidP="006D3752">
      <w:pPr>
        <w:spacing w:after="120"/>
        <w:ind w:right="282"/>
        <w:outlineLvl w:val="6"/>
        <w:rPr>
          <w:rFonts w:cs="Calibri"/>
          <w:lang w:val="en-US"/>
        </w:rPr>
      </w:pPr>
      <w:r>
        <w:rPr>
          <w:rFonts w:cs="Calibri"/>
          <w:lang w:val="en-US"/>
        </w:rPr>
        <w:t xml:space="preserve">In case of unsuccessful completion of the course, the student receives a certificate of attendance of the </w:t>
      </w:r>
      <w:r>
        <w:rPr>
          <w:rFonts w:cs="Calibri"/>
          <w:color w:val="000000"/>
          <w:lang w:val="en-US"/>
        </w:rPr>
        <w:t>course.</w:t>
      </w:r>
    </w:p>
    <w:p w14:paraId="0097484F" w14:textId="77777777" w:rsidR="006D3752" w:rsidRDefault="006D3752" w:rsidP="006D3752">
      <w:pPr>
        <w:spacing w:after="120"/>
        <w:rPr>
          <w:rFonts w:cs="Times New Roman"/>
          <w:lang w:val="en-US" w:eastAsia="ko-KR"/>
        </w:rPr>
      </w:pPr>
    </w:p>
    <w:p w14:paraId="46BDB685" w14:textId="0B9CABF3" w:rsidR="006D3752" w:rsidRDefault="006D3752" w:rsidP="006D3752">
      <w:pPr>
        <w:pStyle w:val="2"/>
        <w:spacing w:before="0" w:after="120" w:line="254" w:lineRule="auto"/>
        <w:rPr>
          <w:sz w:val="26"/>
          <w:lang w:val="en-US"/>
        </w:rPr>
      </w:pPr>
      <w:bookmarkStart w:id="21" w:name="_Toc197974938"/>
      <w:bookmarkStart w:id="22" w:name="_Toc197974979"/>
      <w:r w:rsidRPr="00257782">
        <w:rPr>
          <w:rStyle w:val="normalchar1"/>
          <w:sz w:val="26"/>
          <w:lang w:val="en-US"/>
        </w:rPr>
        <w:t xml:space="preserve">ARTICLE 9. PREPARATION OF </w:t>
      </w:r>
      <w:r w:rsidR="004602B9">
        <w:rPr>
          <w:rStyle w:val="normalchar1"/>
          <w:sz w:val="26"/>
          <w:lang w:val="en-US"/>
        </w:rPr>
        <w:t>DIPLOMA</w:t>
      </w:r>
      <w:r w:rsidRPr="00257782">
        <w:rPr>
          <w:rStyle w:val="normalchar1"/>
          <w:sz w:val="26"/>
          <w:lang w:val="en-US"/>
        </w:rPr>
        <w:t xml:space="preserve"> THESIS</w:t>
      </w:r>
      <w:bookmarkEnd w:id="21"/>
      <w:bookmarkEnd w:id="22"/>
    </w:p>
    <w:p w14:paraId="770FF284" w14:textId="0C6E332F" w:rsidR="006D3752" w:rsidRDefault="006D3752" w:rsidP="006D3752">
      <w:pPr>
        <w:spacing w:after="120"/>
        <w:rPr>
          <w:color w:val="000000"/>
          <w:lang w:val="en-US"/>
        </w:rPr>
      </w:pPr>
      <w:r>
        <w:rPr>
          <w:b/>
          <w:color w:val="000000"/>
          <w:lang w:val="en-US"/>
        </w:rPr>
        <w:t xml:space="preserve">9.1 </w:t>
      </w:r>
      <w:r>
        <w:rPr>
          <w:color w:val="000000"/>
          <w:lang w:val="en-US"/>
        </w:rPr>
        <w:t xml:space="preserve">Each student prepares in the third semester the </w:t>
      </w:r>
      <w:r w:rsidR="00263074">
        <w:rPr>
          <w:color w:val="000000"/>
          <w:lang w:val="en-US"/>
        </w:rPr>
        <w:t>Diploma T</w:t>
      </w:r>
      <w:r>
        <w:rPr>
          <w:color w:val="000000"/>
          <w:lang w:val="en-US"/>
        </w:rPr>
        <w:t>hesis (</w:t>
      </w:r>
      <w:r w:rsidR="00263074">
        <w:rPr>
          <w:rFonts w:cs="Calibri"/>
          <w:lang w:val="en-US"/>
        </w:rPr>
        <w:t>D.T.</w:t>
      </w:r>
      <w:r>
        <w:rPr>
          <w:color w:val="000000"/>
          <w:lang w:val="en-US"/>
        </w:rPr>
        <w:t xml:space="preserve">), according to the writing instructions posted on the website of the </w:t>
      </w:r>
      <w:r w:rsidR="00542CB3">
        <w:rPr>
          <w:color w:val="000000"/>
          <w:lang w:val="en-US"/>
        </w:rPr>
        <w:t>PSP</w:t>
      </w:r>
      <w:r>
        <w:rPr>
          <w:color w:val="000000"/>
          <w:lang w:val="en-US"/>
        </w:rPr>
        <w:t xml:space="preserve"> The </w:t>
      </w:r>
      <w:r>
        <w:rPr>
          <w:rFonts w:cs="Calibri"/>
          <w:lang w:val="en-US"/>
        </w:rPr>
        <w:t xml:space="preserve">M.Sc. thesis </w:t>
      </w:r>
      <w:r w:rsidRPr="00880B00">
        <w:rPr>
          <w:color w:val="000000"/>
          <w:lang w:val="en-US"/>
        </w:rPr>
        <w:t>is clearly of a research nature,</w:t>
      </w:r>
      <w:r>
        <w:rPr>
          <w:color w:val="000000"/>
          <w:lang w:val="en-US"/>
        </w:rPr>
        <w:t xml:space="preserve"> deals with contemporary issues of science and its content is compatible with the mission of the MSc. </w:t>
      </w:r>
    </w:p>
    <w:p w14:paraId="39D7B454" w14:textId="77777777" w:rsidR="006D3752" w:rsidRDefault="006D3752" w:rsidP="006D3752">
      <w:pPr>
        <w:spacing w:after="120"/>
        <w:rPr>
          <w:color w:val="000000"/>
          <w:lang w:val="en-US"/>
        </w:rPr>
      </w:pPr>
      <w:r>
        <w:rPr>
          <w:b/>
          <w:color w:val="000000"/>
          <w:lang w:val="en-US"/>
        </w:rPr>
        <w:t xml:space="preserve">9.2 </w:t>
      </w:r>
      <w:r>
        <w:rPr>
          <w:color w:val="000000"/>
          <w:lang w:val="en-US"/>
        </w:rPr>
        <w:t>The postgraduate student submits an application form, in which the proposed title of the thesis, the proposed supervisor and an abstract of the proposed thesis is attached to the Secretariat of the MSc. The language of the thesis is English.</w:t>
      </w:r>
    </w:p>
    <w:p w14:paraId="232DD674" w14:textId="77777777" w:rsidR="006D3752" w:rsidRDefault="006D3752" w:rsidP="006D3752">
      <w:pPr>
        <w:spacing w:after="120"/>
        <w:rPr>
          <w:color w:val="000000"/>
          <w:lang w:val="en-US"/>
        </w:rPr>
      </w:pPr>
      <w:r>
        <w:rPr>
          <w:b/>
          <w:color w:val="000000"/>
          <w:lang w:val="en-US"/>
        </w:rPr>
        <w:t xml:space="preserve">9.3 </w:t>
      </w:r>
      <w:r>
        <w:rPr>
          <w:color w:val="000000"/>
          <w:lang w:val="en-US"/>
        </w:rPr>
        <w:t>The supervisor and the members of the three-member examination committee are appointed by decision of the Curriculum Committee from the following categories of faculty members</w:t>
      </w:r>
      <w:r>
        <w:rPr>
          <w:lang w:val="en-US"/>
        </w:rPr>
        <w:t xml:space="preserve">, provided that they </w:t>
      </w:r>
      <w:r>
        <w:rPr>
          <w:color w:val="000000"/>
          <w:lang w:val="en-US"/>
        </w:rPr>
        <w:t xml:space="preserve">hold a doctoral degree:  </w:t>
      </w:r>
    </w:p>
    <w:p w14:paraId="3088F51C" w14:textId="56F83DDA" w:rsidR="006D3752" w:rsidRDefault="006D3752" w:rsidP="006D3752">
      <w:pPr>
        <w:spacing w:after="120"/>
        <w:rPr>
          <w:lang w:val="en-US"/>
        </w:rPr>
      </w:pPr>
      <w:r>
        <w:rPr>
          <w:lang w:val="en-US"/>
        </w:rPr>
        <w:t xml:space="preserve">a) members of Teaching Research Staff (D.R.P.), Special Teaching Staff (S.T.P.), Laboratory Teaching Staff (L.T.P.) and Special Technical Laboratory Staff (S.T.L.P.)) of the collaborating Departments or other Departments of the same or another Higher Educational Institution (HEI) or Higher Military Educational Institution (HEMI), with additional employment beyond their legal obligations, if the </w:t>
      </w:r>
      <w:r w:rsidR="00542CB3">
        <w:rPr>
          <w:lang w:val="en-US"/>
        </w:rPr>
        <w:t>PSP</w:t>
      </w:r>
      <w:r>
        <w:rPr>
          <w:lang w:val="en-US"/>
        </w:rPr>
        <w:t xml:space="preserve"> has tuition fees, </w:t>
      </w:r>
    </w:p>
    <w:p w14:paraId="11300C44" w14:textId="77777777" w:rsidR="006D3752" w:rsidRDefault="006D3752" w:rsidP="006D3752">
      <w:pPr>
        <w:spacing w:after="120"/>
        <w:rPr>
          <w:lang w:val="en-US"/>
        </w:rPr>
      </w:pPr>
      <w:r>
        <w:rPr>
          <w:lang w:val="en-US"/>
        </w:rPr>
        <w:t>b) Professors Emeritus or retired members of the collaborating Departments or other Departments of the same or other HEIs,</w:t>
      </w:r>
    </w:p>
    <w:p w14:paraId="7B533F0D" w14:textId="77777777" w:rsidR="006D3752" w:rsidRDefault="006D3752" w:rsidP="006D3752">
      <w:pPr>
        <w:spacing w:after="120"/>
        <w:rPr>
          <w:lang w:val="en-US"/>
        </w:rPr>
      </w:pPr>
      <w:r>
        <w:rPr>
          <w:lang w:val="en-US"/>
        </w:rPr>
        <w:t xml:space="preserve"> c) cooperating teachers, </w:t>
      </w:r>
    </w:p>
    <w:p w14:paraId="43A6D853" w14:textId="77777777" w:rsidR="006D3752" w:rsidRDefault="006D3752" w:rsidP="006D3752">
      <w:pPr>
        <w:spacing w:after="120"/>
        <w:rPr>
          <w:lang w:val="en-US"/>
        </w:rPr>
      </w:pPr>
      <w:r>
        <w:rPr>
          <w:lang w:val="en-US"/>
        </w:rPr>
        <w:t xml:space="preserve">d) appointed lecturers, </w:t>
      </w:r>
    </w:p>
    <w:p w14:paraId="72C5B2B4" w14:textId="77777777" w:rsidR="006D3752" w:rsidRDefault="006D3752" w:rsidP="006D3752">
      <w:pPr>
        <w:spacing w:after="120"/>
        <w:rPr>
          <w:lang w:val="en-US"/>
        </w:rPr>
      </w:pPr>
      <w:r>
        <w:rPr>
          <w:lang w:val="en-US"/>
        </w:rPr>
        <w:t xml:space="preserve">(e) visiting professors or visiting researchers, </w:t>
      </w:r>
    </w:p>
    <w:p w14:paraId="25659954" w14:textId="77777777" w:rsidR="006D3752" w:rsidRDefault="006D3752" w:rsidP="006D3752">
      <w:pPr>
        <w:spacing w:after="120"/>
        <w:rPr>
          <w:lang w:val="en-US"/>
        </w:rPr>
      </w:pPr>
      <w:r>
        <w:rPr>
          <w:lang w:val="en-US"/>
        </w:rPr>
        <w:t xml:space="preserve">f) researchers and special operational scientists of research and technological institutions of Article 13A of Law No. 4310/2014 (A' 258) or other research centres and institutes in Greece or abroad. </w:t>
      </w:r>
    </w:p>
    <w:p w14:paraId="45B801C2" w14:textId="77777777" w:rsidR="006D3752" w:rsidRDefault="006D3752" w:rsidP="006D3752">
      <w:pPr>
        <w:autoSpaceDE w:val="0"/>
        <w:autoSpaceDN w:val="0"/>
        <w:adjustRightInd w:val="0"/>
        <w:spacing w:after="120"/>
        <w:ind w:right="282"/>
        <w:rPr>
          <w:lang w:val="en-US"/>
        </w:rPr>
      </w:pPr>
      <w:r>
        <w:rPr>
          <w:lang w:val="en-US"/>
        </w:rPr>
        <w:t>The maximum number of dissertations that each lecturer may undertake for supervision is set at five per year.</w:t>
      </w:r>
    </w:p>
    <w:p w14:paraId="3F284BF0" w14:textId="78EDC6AB" w:rsidR="006D3752" w:rsidRDefault="006D3752" w:rsidP="006D3752">
      <w:pPr>
        <w:spacing w:after="120"/>
        <w:rPr>
          <w:color w:val="000000"/>
          <w:lang w:val="en-US"/>
        </w:rPr>
      </w:pPr>
      <w:r>
        <w:rPr>
          <w:color w:val="000000"/>
          <w:lang w:val="en-US"/>
        </w:rPr>
        <w:t xml:space="preserve">In exceptional cases, if there is an objective impossibility or an important reason (illness, absence abroad, etc.), it is possible to replace the supervisor or a member of the Examination Committee after a decision of the Director of the </w:t>
      </w:r>
      <w:r w:rsidR="00542CB3">
        <w:rPr>
          <w:color w:val="000000"/>
          <w:lang w:val="en-US"/>
        </w:rPr>
        <w:t>PSP</w:t>
      </w:r>
      <w:r>
        <w:rPr>
          <w:color w:val="000000"/>
          <w:lang w:val="en-US"/>
        </w:rPr>
        <w:t xml:space="preserve"> and the agreement of the Board.</w:t>
      </w:r>
    </w:p>
    <w:p w14:paraId="07F61593" w14:textId="77777777" w:rsidR="006D3752" w:rsidRDefault="006D3752" w:rsidP="006D3752">
      <w:pPr>
        <w:spacing w:after="120"/>
        <w:rPr>
          <w:color w:val="000000"/>
          <w:lang w:val="en-US"/>
        </w:rPr>
      </w:pPr>
      <w:r>
        <w:rPr>
          <w:color w:val="000000"/>
          <w:lang w:val="en-US"/>
        </w:rPr>
        <w:lastRenderedPageBreak/>
        <w:t xml:space="preserve">Lecturers who have the right to supervise dissertations, in accordance with the legislation in force, shall inform the Secretariat in writing of the subjects of the dissertations they propose. </w:t>
      </w:r>
    </w:p>
    <w:p w14:paraId="06A664A6" w14:textId="77777777" w:rsidR="006D3752" w:rsidRDefault="006D3752" w:rsidP="006D3752">
      <w:pPr>
        <w:spacing w:after="120"/>
        <w:rPr>
          <w:rFonts w:cs="Calibri"/>
          <w:lang w:val="en-US"/>
        </w:rPr>
      </w:pPr>
      <w:r>
        <w:rPr>
          <w:rFonts w:cs="Calibri"/>
          <w:lang w:val="en-US"/>
        </w:rPr>
        <w:t xml:space="preserve">Each postgraduate student prepares a postgraduate thesis as part of his/her obligations for the award of the Diploma of Postgraduate Studies. The postgraduate thesis may not be undertaken earlier than the end of the second semester of study. </w:t>
      </w:r>
    </w:p>
    <w:p w14:paraId="386FE948" w14:textId="77777777" w:rsidR="006D3752" w:rsidRDefault="006D3752" w:rsidP="006D3752">
      <w:pPr>
        <w:spacing w:after="120"/>
        <w:rPr>
          <w:rFonts w:cs="Times New Roman"/>
          <w:color w:val="000000"/>
          <w:lang w:val="en-US"/>
        </w:rPr>
      </w:pPr>
      <w:r>
        <w:rPr>
          <w:b/>
          <w:color w:val="000000"/>
          <w:lang w:val="en-US"/>
        </w:rPr>
        <w:t xml:space="preserve">9.4 </w:t>
      </w:r>
      <w:r w:rsidRPr="005C0AA2">
        <w:rPr>
          <w:color w:val="000000"/>
          <w:lang w:val="en-US"/>
        </w:rPr>
        <w:t xml:space="preserve">In order for the </w:t>
      </w:r>
      <w:r>
        <w:rPr>
          <w:color w:val="000000"/>
          <w:lang w:val="en-US"/>
        </w:rPr>
        <w:t xml:space="preserve">thesis to be approved, the student must publicly support it before the three-member examination committee (1 supervisor and 2 faculty members) at a date and place determined by the Curriculum Committee. The paper will be graded by the members of the three-member committee immediately after it has been supported. Approval requires the concurrence of two-thirds (2/3) of the committee members. </w:t>
      </w:r>
    </w:p>
    <w:p w14:paraId="385532BE" w14:textId="5122CD77" w:rsidR="006D3752" w:rsidRDefault="006D3752" w:rsidP="006D3752">
      <w:pPr>
        <w:spacing w:after="120"/>
        <w:rPr>
          <w:lang w:val="en-US"/>
        </w:rPr>
      </w:pPr>
      <w:r>
        <w:rPr>
          <w:lang w:val="en-US"/>
        </w:rPr>
        <w:t xml:space="preserve">The </w:t>
      </w:r>
      <w:r w:rsidR="00263074">
        <w:rPr>
          <w:rFonts w:cs="Calibri"/>
          <w:lang w:val="en-US"/>
        </w:rPr>
        <w:t>D.T</w:t>
      </w:r>
      <w:r>
        <w:rPr>
          <w:rFonts w:cs="Calibri"/>
          <w:lang w:val="en-US"/>
        </w:rPr>
        <w:t xml:space="preserve">. </w:t>
      </w:r>
      <w:r>
        <w:rPr>
          <w:lang w:val="en-US"/>
        </w:rPr>
        <w:t xml:space="preserve">is graded from zero (0) to ten (10), with a minimum passing grade of five (5). In case of rejection of the </w:t>
      </w:r>
      <w:r w:rsidR="00263074">
        <w:rPr>
          <w:rFonts w:cs="Calibri"/>
          <w:lang w:val="en-US"/>
        </w:rPr>
        <w:t>D.T</w:t>
      </w:r>
      <w:r>
        <w:rPr>
          <w:rFonts w:cs="Calibri"/>
          <w:lang w:val="en-US"/>
        </w:rPr>
        <w:t xml:space="preserve">., the HPS </w:t>
      </w:r>
      <w:r>
        <w:rPr>
          <w:lang w:val="en-US"/>
        </w:rPr>
        <w:t xml:space="preserve">will set a new evaluation date, at least three (3) months after the first evaluation. In the case of a second rejection, the candidate shall be removed from the </w:t>
      </w:r>
      <w:r>
        <w:rPr>
          <w:rFonts w:cs="Calibri"/>
          <w:color w:val="000000"/>
          <w:lang w:val="en-US"/>
        </w:rPr>
        <w:t>MSc.</w:t>
      </w:r>
    </w:p>
    <w:p w14:paraId="378876B8" w14:textId="77777777" w:rsidR="006D3752" w:rsidRDefault="006D3752" w:rsidP="006D3752">
      <w:pPr>
        <w:spacing w:after="120"/>
        <w:rPr>
          <w:color w:val="000000"/>
          <w:lang w:val="en-US"/>
        </w:rPr>
      </w:pPr>
      <w:r>
        <w:rPr>
          <w:color w:val="000000"/>
          <w:lang w:val="en-US"/>
        </w:rPr>
        <w:t>The procedure for submitting the thesis for examination is as follows:</w:t>
      </w:r>
    </w:p>
    <w:p w14:paraId="093F4691" w14:textId="3AB76379" w:rsidR="006D3752" w:rsidRDefault="006D3752" w:rsidP="006D3752">
      <w:pPr>
        <w:spacing w:after="120"/>
        <w:rPr>
          <w:rFonts w:cs="Calibri"/>
          <w:lang w:val="en-US"/>
        </w:rPr>
      </w:pPr>
      <w:r>
        <w:rPr>
          <w:rFonts w:cs="Calibri"/>
          <w:lang w:val="en-US"/>
        </w:rPr>
        <w:t>The S.</w:t>
      </w:r>
      <w:r w:rsidR="00847A1C">
        <w:rPr>
          <w:rFonts w:cs="Calibri"/>
          <w:lang w:val="en-US"/>
        </w:rPr>
        <w:t>C</w:t>
      </w:r>
      <w:r>
        <w:rPr>
          <w:rFonts w:cs="Calibri"/>
          <w:lang w:val="en-US"/>
        </w:rPr>
        <w:t xml:space="preserve">, following the candidate's application, in which the proposed title of the thesis, the proposed supervisor and the abstract of the proposed thesis are indicated, appoints the supervisor and constitutes the three-member examination committee for the approval of the thesis, one of whose members is the supervisor. </w:t>
      </w:r>
    </w:p>
    <w:p w14:paraId="5B82D45C" w14:textId="77777777" w:rsidR="006D3752" w:rsidRDefault="006D3752" w:rsidP="006D3752">
      <w:pPr>
        <w:spacing w:after="120"/>
        <w:rPr>
          <w:rFonts w:cs="Calibri"/>
          <w:lang w:val="en-US"/>
        </w:rPr>
      </w:pPr>
      <w:r>
        <w:rPr>
          <w:rFonts w:cs="Calibri"/>
          <w:lang w:val="en-US"/>
        </w:rPr>
        <w:t>After the completion of the collection and processing of the sources or research data, the writing of the Master's Thesis follows.</w:t>
      </w:r>
    </w:p>
    <w:p w14:paraId="4519A34A" w14:textId="65769A29" w:rsidR="006D3752" w:rsidRDefault="006D3752" w:rsidP="006D3752">
      <w:pPr>
        <w:spacing w:after="120"/>
        <w:rPr>
          <w:rFonts w:cs="Calibri"/>
          <w:lang w:val="en-US"/>
        </w:rPr>
      </w:pPr>
      <w:r>
        <w:rPr>
          <w:rFonts w:cs="Calibri"/>
          <w:lang w:val="en-US"/>
        </w:rPr>
        <w:t xml:space="preserve">The way of writing the Postgraduate Diploma Thesis of each Programme has specific specifications, included in the Guide for the preparation of theses and is posted on the website of the </w:t>
      </w:r>
      <w:r w:rsidR="00542CB3">
        <w:rPr>
          <w:rFonts w:cs="Calibri"/>
          <w:color w:val="000000"/>
          <w:lang w:val="en-US"/>
        </w:rPr>
        <w:t>PSP.</w:t>
      </w:r>
      <w:r>
        <w:rPr>
          <w:rFonts w:cs="Calibri"/>
          <w:lang w:val="en-US"/>
        </w:rPr>
        <w:t xml:space="preserve"> </w:t>
      </w:r>
    </w:p>
    <w:p w14:paraId="039A2DDF" w14:textId="77777777" w:rsidR="006D3752" w:rsidRDefault="006D3752" w:rsidP="006D3752">
      <w:pPr>
        <w:spacing w:after="120"/>
        <w:rPr>
          <w:rFonts w:cs="Times New Roman"/>
          <w:color w:val="000000"/>
          <w:lang w:val="en-US"/>
        </w:rPr>
      </w:pPr>
      <w:r>
        <w:rPr>
          <w:b/>
          <w:color w:val="000000"/>
          <w:lang w:val="en-US"/>
        </w:rPr>
        <w:t xml:space="preserve">9.5. </w:t>
      </w:r>
      <w:r>
        <w:rPr>
          <w:color w:val="000000"/>
          <w:lang w:val="en-US"/>
        </w:rPr>
        <w:t xml:space="preserve">The postgraduate theses, if approved by the three-member examination committee, are submitted by the postgraduate students to the library in one (1) copy in electronic form and posted on the website of the University of Thessaly's Institutional Repository http://ir.lib.uth.gr and on the website of the relevant School. </w:t>
      </w:r>
    </w:p>
    <w:p w14:paraId="4CDE6B46" w14:textId="77777777" w:rsidR="006D3752" w:rsidRDefault="006D3752" w:rsidP="006D3752">
      <w:pPr>
        <w:spacing w:after="120"/>
        <w:rPr>
          <w:color w:val="221F1F"/>
          <w:lang w:val="en-US"/>
        </w:rPr>
      </w:pPr>
      <w:r>
        <w:rPr>
          <w:b/>
          <w:color w:val="000000"/>
          <w:lang w:val="en-US"/>
        </w:rPr>
        <w:t xml:space="preserve">9.6 </w:t>
      </w:r>
      <w:r>
        <w:rPr>
          <w:color w:val="000000"/>
          <w:lang w:val="en-US"/>
        </w:rPr>
        <w:t xml:space="preserve">With regard to </w:t>
      </w:r>
      <w:r>
        <w:rPr>
          <w:color w:val="221F1F"/>
          <w:lang w:val="en-US"/>
        </w:rPr>
        <w:t>the issues of confidentiality control, respect for personal data and other ethical and moral standards of postgraduate research, the Department has established a three-member subcommittee on Research Ethics.</w:t>
      </w:r>
    </w:p>
    <w:p w14:paraId="0BC63D2A" w14:textId="77777777" w:rsidR="006D3752" w:rsidRDefault="006D3752" w:rsidP="006D3752">
      <w:pPr>
        <w:spacing w:after="120"/>
        <w:rPr>
          <w:color w:val="221F1F"/>
          <w:lang w:val="en-US"/>
        </w:rPr>
      </w:pPr>
      <w:r>
        <w:rPr>
          <w:b/>
          <w:color w:val="221F1F"/>
          <w:lang w:val="en-US"/>
        </w:rPr>
        <w:t xml:space="preserve">9.7 </w:t>
      </w:r>
      <w:r>
        <w:rPr>
          <w:color w:val="221F1F"/>
          <w:u w:val="single"/>
          <w:lang w:val="en-US"/>
        </w:rPr>
        <w:t xml:space="preserve">As regards the </w:t>
      </w:r>
      <w:r>
        <w:rPr>
          <w:color w:val="221F1F"/>
          <w:lang w:val="en-US"/>
        </w:rPr>
        <w:t>procedure, applicants shall submit: 1) a request for proposal review, 2) a description of the research proposal, 3) research protocols, consent forms and other supporting documents deemed necessary based on the scientific fields. The templates for the preparation of the relevant forms can be found on the University of Thessaly website at the following address:</w:t>
      </w:r>
    </w:p>
    <w:p w14:paraId="4F253AD7" w14:textId="77777777" w:rsidR="006D3752" w:rsidRDefault="006D3752" w:rsidP="006D3752">
      <w:pPr>
        <w:spacing w:after="120"/>
        <w:rPr>
          <w:color w:val="221F1F"/>
          <w:lang w:val="en-US"/>
        </w:rPr>
      </w:pPr>
      <w:r>
        <w:rPr>
          <w:lang w:val="en-US"/>
        </w:rPr>
        <w:t>https://www.uth.gr/panepistimio/thesmika/themata-deontologias.</w:t>
      </w:r>
    </w:p>
    <w:p w14:paraId="624F27FD" w14:textId="77777777" w:rsidR="006D3752" w:rsidRDefault="006D3752" w:rsidP="006D3752">
      <w:pPr>
        <w:spacing w:after="120"/>
        <w:rPr>
          <w:color w:val="221F1F"/>
          <w:lang w:val="en-US"/>
        </w:rPr>
      </w:pPr>
      <w:r>
        <w:rPr>
          <w:b/>
          <w:color w:val="221F1F"/>
          <w:lang w:val="en-US"/>
        </w:rPr>
        <w:t xml:space="preserve">9.8 </w:t>
      </w:r>
      <w:r>
        <w:rPr>
          <w:color w:val="221F1F"/>
          <w:lang w:val="en-US"/>
        </w:rPr>
        <w:t xml:space="preserve">After the examination of the proposal, the Departmental Committee issues a Certificate of Approval of the Master's thesis proposal. In case of rejection of the proposal or disagreement among the members of the Committee, it will be forwarded to the Research Ethics Committee of the University of Thessaly. The Certificates of Approval will be posted in the information system of the MHSS.  </w:t>
      </w:r>
    </w:p>
    <w:p w14:paraId="11BE059B" w14:textId="77777777" w:rsidR="006D3752" w:rsidRDefault="006D3752" w:rsidP="006D3752">
      <w:pPr>
        <w:spacing w:after="120"/>
        <w:rPr>
          <w:color w:val="221F1F"/>
          <w:sz w:val="26"/>
          <w:szCs w:val="26"/>
          <w:lang w:val="en-US"/>
        </w:rPr>
      </w:pPr>
    </w:p>
    <w:p w14:paraId="41E9C5FA" w14:textId="77777777" w:rsidR="006D3752" w:rsidRDefault="006D3752" w:rsidP="006D3752">
      <w:pPr>
        <w:pStyle w:val="2"/>
        <w:spacing w:before="0" w:after="120" w:line="254" w:lineRule="auto"/>
        <w:rPr>
          <w:color w:val="2E74B5"/>
          <w:sz w:val="26"/>
          <w:lang w:val="en-US"/>
        </w:rPr>
      </w:pPr>
      <w:bookmarkStart w:id="23" w:name="_Toc197974939"/>
      <w:bookmarkStart w:id="24" w:name="_Toc197974980"/>
      <w:r w:rsidRPr="00257782">
        <w:rPr>
          <w:rStyle w:val="normalchar1"/>
          <w:sz w:val="26"/>
          <w:lang w:val="en-US"/>
        </w:rPr>
        <w:t>ARTICLE 10. COPYRIGHT AND PLAGIARISM</w:t>
      </w:r>
      <w:bookmarkEnd w:id="23"/>
      <w:bookmarkEnd w:id="24"/>
    </w:p>
    <w:p w14:paraId="405CEA47" w14:textId="4BBA61BF" w:rsidR="006D3752" w:rsidRDefault="006D3752" w:rsidP="006D3752">
      <w:pPr>
        <w:spacing w:after="120"/>
        <w:rPr>
          <w:lang w:val="en-US"/>
        </w:rPr>
      </w:pPr>
      <w:r>
        <w:rPr>
          <w:b/>
          <w:lang w:val="en-US"/>
        </w:rPr>
        <w:t xml:space="preserve">10.1 </w:t>
      </w:r>
      <w:r>
        <w:rPr>
          <w:lang w:val="en-US"/>
        </w:rPr>
        <w:t>The copyrights of the Postgraduate Diploma Theses or the possible patent rights or commercial exploitation rights of the theses are determined by relevant decisions of the Ethics Committee of</w:t>
      </w:r>
      <w:r w:rsidR="00B65A55">
        <w:rPr>
          <w:lang w:val="en-US"/>
        </w:rPr>
        <w:t xml:space="preserve"> the University of Thessaly.</w:t>
      </w:r>
      <w:r>
        <w:rPr>
          <w:lang w:val="en-US"/>
        </w:rPr>
        <w:t xml:space="preserve"> </w:t>
      </w:r>
    </w:p>
    <w:p w14:paraId="47947332" w14:textId="77777777" w:rsidR="006D3752" w:rsidRDefault="006D3752" w:rsidP="006D3752">
      <w:pPr>
        <w:spacing w:after="120"/>
        <w:rPr>
          <w:lang w:val="en-US"/>
        </w:rPr>
      </w:pPr>
      <w:r>
        <w:rPr>
          <w:b/>
          <w:lang w:val="en-US"/>
        </w:rPr>
        <w:lastRenderedPageBreak/>
        <w:t xml:space="preserve">10.2 </w:t>
      </w:r>
      <w:r>
        <w:rPr>
          <w:lang w:val="en-US"/>
        </w:rPr>
        <w:t xml:space="preserve">Any kind of plagiarism in coursework, publications or writing of Postgraduate Diploma Theses, fabrication of research data and unscientific behaviour in general is prohibited. The Ethics Committee is responsible for informing the students of the </w:t>
      </w:r>
      <w:r>
        <w:rPr>
          <w:rFonts w:cs="Calibri"/>
          <w:color w:val="000000"/>
          <w:lang w:val="en-US"/>
        </w:rPr>
        <w:t xml:space="preserve">Master's Degrees and for </w:t>
      </w:r>
      <w:r>
        <w:rPr>
          <w:lang w:val="en-US"/>
        </w:rPr>
        <w:t xml:space="preserve">imposing penalties where necessary. Detailed guidelines on this matter will be issued by the University Ethics Committee. </w:t>
      </w:r>
    </w:p>
    <w:p w14:paraId="251410FE" w14:textId="00F62D1A" w:rsidR="006D3752" w:rsidRDefault="006D3752" w:rsidP="006D3752">
      <w:pPr>
        <w:spacing w:after="120"/>
        <w:rPr>
          <w:lang w:val="en-US"/>
        </w:rPr>
      </w:pPr>
      <w:r>
        <w:rPr>
          <w:b/>
          <w:lang w:val="en-US"/>
        </w:rPr>
        <w:t xml:space="preserve">10.3 </w:t>
      </w:r>
      <w:r>
        <w:rPr>
          <w:lang w:val="en-US"/>
        </w:rPr>
        <w:t>When writing scientific papers in the context of t</w:t>
      </w:r>
      <w:r w:rsidR="00263074">
        <w:rPr>
          <w:lang w:val="en-US"/>
        </w:rPr>
        <w:t>he individual courses and the D.T</w:t>
      </w:r>
      <w:r>
        <w:rPr>
          <w:lang w:val="en-US"/>
        </w:rPr>
        <w:t>., the student is obliged to respect the copyright of the authors of the sources used and to strictly observe the applicable academic rules to avoid plagiarism. Plagiarism is a serious academic misconduct.</w:t>
      </w:r>
    </w:p>
    <w:p w14:paraId="0DDCB339" w14:textId="77777777" w:rsidR="006D3752" w:rsidRDefault="006D3752" w:rsidP="006D3752">
      <w:pPr>
        <w:spacing w:after="120"/>
        <w:rPr>
          <w:lang w:val="en-US"/>
        </w:rPr>
      </w:pPr>
      <w:r>
        <w:rPr>
          <w:b/>
          <w:lang w:val="en-US"/>
        </w:rPr>
        <w:t>10</w:t>
      </w:r>
      <w:r>
        <w:rPr>
          <w:lang w:val="en-US"/>
        </w:rPr>
        <w:t>.</w:t>
      </w:r>
      <w:r>
        <w:rPr>
          <w:b/>
          <w:lang w:val="en-US"/>
        </w:rPr>
        <w:t xml:space="preserve">4 </w:t>
      </w:r>
      <w:r>
        <w:rPr>
          <w:lang w:val="en-US"/>
        </w:rPr>
        <w:t xml:space="preserve">No postgraduate thesis is submitted for support unless it has first been checked by the online plagiarism prevention service of the Central Library of the Foundation. </w:t>
      </w:r>
    </w:p>
    <w:p w14:paraId="66D4481A" w14:textId="77777777" w:rsidR="006D3752" w:rsidRDefault="006D3752" w:rsidP="006D3752">
      <w:pPr>
        <w:spacing w:after="120"/>
        <w:rPr>
          <w:color w:val="000000"/>
          <w:lang w:val="en-US"/>
        </w:rPr>
      </w:pPr>
    </w:p>
    <w:p w14:paraId="78DF08B3" w14:textId="77777777" w:rsidR="006D3752" w:rsidRPr="00257782" w:rsidRDefault="006D3752" w:rsidP="006D3752">
      <w:pPr>
        <w:pStyle w:val="2"/>
        <w:spacing w:before="0" w:after="120" w:line="254" w:lineRule="auto"/>
        <w:rPr>
          <w:rStyle w:val="normalchar1"/>
          <w:rFonts w:ascii="Calibri" w:hAnsi="Calibri"/>
          <w:color w:val="2E74B5"/>
          <w:sz w:val="26"/>
          <w:lang w:val="en-US"/>
        </w:rPr>
      </w:pPr>
      <w:bookmarkStart w:id="25" w:name="_Toc197974940"/>
      <w:bookmarkStart w:id="26" w:name="_Toc197974981"/>
      <w:r w:rsidRPr="00257782">
        <w:rPr>
          <w:rStyle w:val="normalchar1"/>
          <w:sz w:val="26"/>
          <w:lang w:val="en-US"/>
        </w:rPr>
        <w:t>ARTICLE 11. OBLIGATIONS AND RIGHTS OF POSTGRADUATE STUDENTS.</w:t>
      </w:r>
      <w:bookmarkEnd w:id="25"/>
      <w:bookmarkEnd w:id="26"/>
    </w:p>
    <w:p w14:paraId="1F5DB384" w14:textId="77777777" w:rsidR="006D3752" w:rsidRPr="00257782" w:rsidRDefault="006D3752" w:rsidP="006D3752">
      <w:pPr>
        <w:spacing w:after="120"/>
        <w:rPr>
          <w:rFonts w:ascii="Arial" w:eastAsia="Times New Roman" w:hAnsi="Arial"/>
          <w:b/>
          <w:szCs w:val="26"/>
          <w:lang w:val="en-US" w:eastAsia="ko-KR"/>
        </w:rPr>
      </w:pPr>
      <w:r>
        <w:rPr>
          <w:b/>
          <w:lang w:val="en-US"/>
        </w:rPr>
        <w:t xml:space="preserve">11.1 </w:t>
      </w:r>
      <w:r>
        <w:rPr>
          <w:lang w:val="en-US"/>
        </w:rPr>
        <w:t>Postgraduate students have all the rights, benefits and facilities provided for first cycle students except for the right to free textbooks.</w:t>
      </w:r>
    </w:p>
    <w:p w14:paraId="68BC856D" w14:textId="77777777" w:rsidR="006D3752" w:rsidRDefault="006D3752" w:rsidP="006D3752">
      <w:pPr>
        <w:spacing w:after="120"/>
        <w:rPr>
          <w:rFonts w:ascii="Calibri" w:eastAsia="Calibri" w:hAnsi="Calibri"/>
          <w:lang w:val="en-US"/>
        </w:rPr>
      </w:pPr>
      <w:r>
        <w:rPr>
          <w:b/>
          <w:lang w:val="en-US"/>
        </w:rPr>
        <w:t xml:space="preserve">11.2 </w:t>
      </w:r>
      <w:r>
        <w:rPr>
          <w:lang w:val="en-US"/>
        </w:rPr>
        <w:t>The Foundation provides accommodations for postgraduate students with disabilities and/or special educational needs.</w:t>
      </w:r>
    </w:p>
    <w:p w14:paraId="23578276" w14:textId="77777777" w:rsidR="006D3752" w:rsidRDefault="006D3752" w:rsidP="006D3752">
      <w:pPr>
        <w:spacing w:after="120"/>
        <w:rPr>
          <w:lang w:val="en-US"/>
        </w:rPr>
      </w:pPr>
      <w:r>
        <w:rPr>
          <w:b/>
          <w:lang w:val="en-US"/>
        </w:rPr>
        <w:t xml:space="preserve">11.3 </w:t>
      </w:r>
      <w:r>
        <w:rPr>
          <w:lang w:val="en-US"/>
        </w:rPr>
        <w:t>The Curriculum Committee may decide to withdraw postgraduate students if:</w:t>
      </w:r>
    </w:p>
    <w:p w14:paraId="6F34B6DD" w14:textId="77777777" w:rsidR="006D3752" w:rsidRDefault="006D3752" w:rsidP="006D3752">
      <w:pPr>
        <w:spacing w:after="120"/>
        <w:rPr>
          <w:lang w:val="en-US"/>
        </w:rPr>
      </w:pPr>
      <w:r>
        <w:rPr>
          <w:lang w:val="en-US"/>
        </w:rPr>
        <w:t>exceed the maximum number of absences,</w:t>
      </w:r>
    </w:p>
    <w:p w14:paraId="54583FDC" w14:textId="77777777" w:rsidR="006D3752" w:rsidRDefault="006D3752" w:rsidP="006D3752">
      <w:pPr>
        <w:spacing w:after="120"/>
        <w:rPr>
          <w:lang w:val="en-US"/>
        </w:rPr>
      </w:pPr>
      <w:r>
        <w:rPr>
          <w:lang w:val="en-US"/>
        </w:rPr>
        <w:t>have failed the examination of a course or courses and have not successfully completed the programme, as defined in the programme regulations,</w:t>
      </w:r>
    </w:p>
    <w:p w14:paraId="5896B343" w14:textId="77777777" w:rsidR="006D3752" w:rsidRDefault="006D3752" w:rsidP="006D3752">
      <w:pPr>
        <w:spacing w:after="120"/>
        <w:rPr>
          <w:lang w:val="en-US"/>
        </w:rPr>
      </w:pPr>
      <w:r>
        <w:rPr>
          <w:lang w:val="en-US"/>
        </w:rPr>
        <w:t xml:space="preserve">exceed the maximum duration of study in the </w:t>
      </w:r>
      <w:r>
        <w:rPr>
          <w:rFonts w:cs="Calibri"/>
          <w:color w:val="000000"/>
          <w:lang w:val="en-US"/>
        </w:rPr>
        <w:t>MSc</w:t>
      </w:r>
      <w:r>
        <w:rPr>
          <w:lang w:val="en-US"/>
        </w:rPr>
        <w:t>, as defined in the present Regulation,</w:t>
      </w:r>
    </w:p>
    <w:p w14:paraId="2867F11A" w14:textId="77777777" w:rsidR="006D3752" w:rsidRDefault="006D3752" w:rsidP="006D3752">
      <w:pPr>
        <w:spacing w:after="120"/>
        <w:rPr>
          <w:lang w:val="en-US"/>
        </w:rPr>
      </w:pPr>
      <w:r>
        <w:rPr>
          <w:lang w:val="en-US"/>
        </w:rPr>
        <w:t>have violated the provisions in force concerning the treatment of disciplinary offences by the competent disciplinary bodies,</w:t>
      </w:r>
    </w:p>
    <w:p w14:paraId="36992B2B" w14:textId="77777777" w:rsidR="006D3752" w:rsidRDefault="006D3752" w:rsidP="006D3752">
      <w:pPr>
        <w:spacing w:after="120"/>
        <w:rPr>
          <w:lang w:val="en-US"/>
        </w:rPr>
      </w:pPr>
      <w:r>
        <w:rPr>
          <w:lang w:val="en-US"/>
        </w:rPr>
        <w:t>you do not pay the prescribed attendance fee,</w:t>
      </w:r>
    </w:p>
    <w:p w14:paraId="2D19D75B" w14:textId="77777777" w:rsidR="006D3752" w:rsidRDefault="006D3752" w:rsidP="006D3752">
      <w:pPr>
        <w:spacing w:after="120"/>
        <w:rPr>
          <w:lang w:val="en-US"/>
        </w:rPr>
      </w:pPr>
      <w:r>
        <w:rPr>
          <w:lang w:val="en-US"/>
        </w:rPr>
        <w:t>submit a request for de-registration by the postgraduate students themselves.</w:t>
      </w:r>
    </w:p>
    <w:p w14:paraId="53678384" w14:textId="77777777" w:rsidR="006D3752" w:rsidRDefault="006D3752" w:rsidP="006D3752">
      <w:pPr>
        <w:spacing w:after="120"/>
        <w:rPr>
          <w:lang w:val="en-US"/>
        </w:rPr>
      </w:pPr>
      <w:r>
        <w:rPr>
          <w:b/>
          <w:lang w:val="en-US"/>
        </w:rPr>
        <w:t xml:space="preserve">11.4 </w:t>
      </w:r>
      <w:r>
        <w:rPr>
          <w:lang w:val="en-US"/>
        </w:rPr>
        <w:t xml:space="preserve">In case a postgraduate student is withdrawn from the MSc, he/she may request a certificate for the courses in which he/she has successfully passed. </w:t>
      </w:r>
    </w:p>
    <w:p w14:paraId="452D4767" w14:textId="77777777" w:rsidR="006D3752" w:rsidRDefault="006D3752" w:rsidP="006D3752">
      <w:pPr>
        <w:spacing w:after="120"/>
        <w:rPr>
          <w:lang w:val="en-US"/>
        </w:rPr>
      </w:pPr>
      <w:r>
        <w:rPr>
          <w:b/>
          <w:lang w:val="en-US"/>
        </w:rPr>
        <w:t xml:space="preserve">11.5 </w:t>
      </w:r>
      <w:r>
        <w:rPr>
          <w:lang w:val="en-US"/>
        </w:rPr>
        <w:t>At the end of each semester an evaluation of the courses and lecturers is carried out by the postgraduate students (Article 18).</w:t>
      </w:r>
    </w:p>
    <w:p w14:paraId="75191C32" w14:textId="77777777" w:rsidR="006D3752" w:rsidRDefault="006D3752" w:rsidP="006D3752">
      <w:pPr>
        <w:spacing w:after="120"/>
        <w:rPr>
          <w:lang w:val="en-US"/>
        </w:rPr>
      </w:pPr>
      <w:r>
        <w:rPr>
          <w:b/>
          <w:lang w:val="en-US"/>
        </w:rPr>
        <w:t xml:space="preserve">11.6 </w:t>
      </w:r>
      <w:r>
        <w:rPr>
          <w:lang w:val="en-US"/>
        </w:rPr>
        <w:t xml:space="preserve">For their participation in the MSc, postgraduate students pay a fee of </w:t>
      </w:r>
      <w:r>
        <w:rPr>
          <w:rFonts w:cs="Calibri"/>
          <w:lang w:val="en-US" w:eastAsia="el-GR"/>
        </w:rPr>
        <w:t xml:space="preserve">5000 </w:t>
      </w:r>
      <w:r>
        <w:rPr>
          <w:lang w:val="en-US"/>
        </w:rPr>
        <w:t xml:space="preserve">€ for the entire duration of the </w:t>
      </w:r>
      <w:r>
        <w:rPr>
          <w:rFonts w:cs="Calibri"/>
          <w:color w:val="000000"/>
          <w:lang w:val="en-US"/>
        </w:rPr>
        <w:t>MSc</w:t>
      </w:r>
      <w:r>
        <w:rPr>
          <w:lang w:val="en-US"/>
        </w:rPr>
        <w:t>, which will be paid in instalments as follows:</w:t>
      </w:r>
    </w:p>
    <w:p w14:paraId="5F5BABF0" w14:textId="77777777" w:rsidR="006D3752" w:rsidRDefault="006D3752" w:rsidP="006D3752">
      <w:pPr>
        <w:spacing w:after="120"/>
        <w:rPr>
          <w:rFonts w:cs="Calibri"/>
          <w:b/>
          <w:bCs/>
          <w:u w:val="single"/>
          <w:lang w:val="en-US"/>
        </w:rPr>
      </w:pPr>
      <w:r>
        <w:rPr>
          <w:rFonts w:cs="Calibri"/>
          <w:b/>
          <w:bCs/>
          <w:u w:val="single"/>
          <w:lang w:val="en-US"/>
        </w:rPr>
        <w:t>For full attendance</w:t>
      </w:r>
    </w:p>
    <w:p w14:paraId="5AE0071A" w14:textId="77777777" w:rsidR="006D3752" w:rsidRPr="00E73706" w:rsidRDefault="006D3752" w:rsidP="006D3752">
      <w:pPr>
        <w:spacing w:after="120"/>
        <w:rPr>
          <w:rFonts w:cs="Times New Roman"/>
          <w:lang w:val="en-US"/>
        </w:rPr>
      </w:pPr>
      <w:r w:rsidRPr="00E73706">
        <w:rPr>
          <w:lang w:val="en-US"/>
        </w:rPr>
        <w:t xml:space="preserve">Two thousand euros (2000€) upon enrolment in the first semester   </w:t>
      </w:r>
    </w:p>
    <w:p w14:paraId="5F7D6661" w14:textId="77777777" w:rsidR="006D3752" w:rsidRPr="00E73706" w:rsidRDefault="006D3752" w:rsidP="006D3752">
      <w:pPr>
        <w:spacing w:after="120"/>
        <w:rPr>
          <w:lang w:val="en-US"/>
        </w:rPr>
      </w:pPr>
      <w:r w:rsidRPr="00E73706">
        <w:rPr>
          <w:lang w:val="en-US"/>
        </w:rPr>
        <w:t xml:space="preserve">One thousand five hundred euros (1500€) for enrolment in the second semester  </w:t>
      </w:r>
    </w:p>
    <w:p w14:paraId="68CD93B1" w14:textId="77777777" w:rsidR="006D3752" w:rsidRDefault="006D3752" w:rsidP="006D3752">
      <w:pPr>
        <w:spacing w:after="120"/>
        <w:rPr>
          <w:lang w:val="en-US"/>
        </w:rPr>
      </w:pPr>
      <w:r w:rsidRPr="00E73706">
        <w:rPr>
          <w:lang w:val="en-US"/>
        </w:rPr>
        <w:t>One thousand five hundred euros (1500€) for enrolment in the third semester</w:t>
      </w:r>
      <w:r>
        <w:rPr>
          <w:lang w:val="en-US"/>
        </w:rPr>
        <w:t xml:space="preserve">  </w:t>
      </w:r>
    </w:p>
    <w:p w14:paraId="658EC8CD" w14:textId="737199D5" w:rsidR="006D3752" w:rsidRDefault="006D3752" w:rsidP="006D3752">
      <w:pPr>
        <w:spacing w:after="120"/>
        <w:rPr>
          <w:lang w:val="en-US"/>
        </w:rPr>
      </w:pPr>
      <w:r>
        <w:rPr>
          <w:lang w:val="en-US"/>
        </w:rPr>
        <w:t xml:space="preserve">The amount of the tuition fee is considered necessary for the financial viability of the </w:t>
      </w:r>
      <w:r>
        <w:rPr>
          <w:rFonts w:cs="Calibri"/>
          <w:lang w:val="en-US"/>
        </w:rPr>
        <w:t xml:space="preserve">MSc </w:t>
      </w:r>
      <w:r>
        <w:rPr>
          <w:lang w:val="en-US"/>
        </w:rPr>
        <w:t xml:space="preserve">because it covers fixed and permanent needs for the implementation of the </w:t>
      </w:r>
      <w:r>
        <w:rPr>
          <w:rFonts w:cs="Calibri"/>
          <w:lang w:val="en-US"/>
        </w:rPr>
        <w:t>MSc</w:t>
      </w:r>
      <w:r>
        <w:rPr>
          <w:lang w:val="en-US"/>
        </w:rPr>
        <w:t xml:space="preserve">, such as equipment and software costs, consumables costs, travel costs of MSc lecturers, teaching fees of regular staff of universities and research centres and institutes involved in the organisation of the </w:t>
      </w:r>
      <w:r>
        <w:rPr>
          <w:rFonts w:cs="Calibri"/>
          <w:lang w:val="en-US"/>
        </w:rPr>
        <w:t>MSc</w:t>
      </w:r>
      <w:r>
        <w:rPr>
          <w:lang w:val="en-US"/>
        </w:rPr>
        <w:t xml:space="preserve">, fees of temporary teaching staff of HEIs involved in the organisation of the </w:t>
      </w:r>
      <w:r>
        <w:rPr>
          <w:rFonts w:cs="Calibri"/>
          <w:lang w:val="en-US"/>
        </w:rPr>
        <w:t>MSc</w:t>
      </w:r>
      <w:r>
        <w:rPr>
          <w:lang w:val="en-US"/>
        </w:rPr>
        <w:t xml:space="preserve">, teaching fees of staff of Law 4957/2022, administrative </w:t>
      </w:r>
      <w:r>
        <w:rPr>
          <w:lang w:val="en-US"/>
        </w:rPr>
        <w:lastRenderedPageBreak/>
        <w:t>and technical support fees, other costs (such as in particular publicity - promotion costs, purchase of educational material, conference organisation, fieldwork costs), operating costs of the MSc</w:t>
      </w:r>
      <w:r w:rsidR="00847A1C">
        <w:rPr>
          <w:lang w:val="en-US"/>
        </w:rPr>
        <w:t>.</w:t>
      </w:r>
      <w:r>
        <w:rPr>
          <w:rFonts w:cs="Calibri"/>
          <w:lang w:val="en-US"/>
        </w:rPr>
        <w:t xml:space="preserve"> </w:t>
      </w:r>
    </w:p>
    <w:p w14:paraId="31BA469A" w14:textId="77777777" w:rsidR="006D3752" w:rsidRDefault="006D3752" w:rsidP="006D3752">
      <w:pPr>
        <w:spacing w:after="120"/>
        <w:ind w:right="282"/>
        <w:outlineLvl w:val="6"/>
        <w:rPr>
          <w:lang w:val="en-US"/>
        </w:rPr>
      </w:pPr>
    </w:p>
    <w:p w14:paraId="52334B86" w14:textId="77777777" w:rsidR="006D3752" w:rsidRDefault="006D3752" w:rsidP="006D3752">
      <w:pPr>
        <w:pStyle w:val="2"/>
        <w:spacing w:before="0" w:after="120" w:line="254" w:lineRule="auto"/>
        <w:rPr>
          <w:sz w:val="26"/>
          <w:lang w:val="en-US"/>
        </w:rPr>
      </w:pPr>
      <w:bookmarkStart w:id="27" w:name="_Toc197974941"/>
      <w:bookmarkStart w:id="28" w:name="_Toc197974982"/>
      <w:r w:rsidRPr="00257782">
        <w:rPr>
          <w:rStyle w:val="normalchar1"/>
          <w:sz w:val="26"/>
          <w:lang w:val="en-US"/>
        </w:rPr>
        <w:t>ARTICLE 12. EXEMPTION FROM TUITION FEES</w:t>
      </w:r>
      <w:bookmarkEnd w:id="27"/>
      <w:bookmarkEnd w:id="28"/>
    </w:p>
    <w:p w14:paraId="14E53BC2" w14:textId="77777777" w:rsidR="006D3752" w:rsidRDefault="006D3752" w:rsidP="006D3752">
      <w:pPr>
        <w:widowControl w:val="0"/>
        <w:spacing w:after="120"/>
        <w:ind w:right="40"/>
        <w:rPr>
          <w:rFonts w:eastAsia="Batang" w:cs="Calibri"/>
          <w:bCs/>
          <w:lang w:val="en-US" w:eastAsia="ja-JP"/>
        </w:rPr>
      </w:pPr>
      <w:r>
        <w:rPr>
          <w:rFonts w:eastAsia="Batang" w:cs="Calibri"/>
          <w:b/>
          <w:bCs/>
          <w:lang w:val="en-US" w:eastAsia="ja-JP"/>
        </w:rPr>
        <w:t xml:space="preserve">12.1 </w:t>
      </w:r>
      <w:r>
        <w:rPr>
          <w:rFonts w:eastAsia="Batang" w:cs="Calibri"/>
          <w:bCs/>
          <w:lang w:val="en-US" w:eastAsia="ja-JP"/>
        </w:rPr>
        <w:t>Registered students of the Postgraduate Studies Programme (MSc) who meet the financial or social criteria and the requirements for excellence during the first cycle of studies, in accordance with the current legislation, are exempted from the tuition fees. The possibility of exemption from the obligation to pay tuition fees is granted exclusively for the attendance of one (1) MSc programme organised by a domestic higher education institution. The total number of students attending free of charge may not exceed the number corresponding to thirty percent (30%) of the total number of registered students per academic year.</w:t>
      </w:r>
    </w:p>
    <w:p w14:paraId="3932406B" w14:textId="77777777" w:rsidR="006D3752" w:rsidRDefault="006D3752" w:rsidP="006D3752">
      <w:pPr>
        <w:widowControl w:val="0"/>
        <w:spacing w:after="120"/>
        <w:ind w:right="40"/>
        <w:rPr>
          <w:rFonts w:eastAsia="Batang" w:cs="Calibri"/>
          <w:bCs/>
          <w:lang w:val="en-US" w:eastAsia="ja-JP"/>
        </w:rPr>
      </w:pPr>
      <w:r>
        <w:rPr>
          <w:rFonts w:eastAsia="Batang" w:cs="Calibri"/>
          <w:b/>
          <w:bCs/>
          <w:lang w:val="en-US" w:eastAsia="ja-JP"/>
        </w:rPr>
        <w:t xml:space="preserve">12.2 </w:t>
      </w:r>
      <w:r>
        <w:rPr>
          <w:rFonts w:eastAsia="Batang" w:cs="Calibri"/>
          <w:bCs/>
          <w:lang w:val="en-US" w:eastAsia="ja-JP"/>
        </w:rPr>
        <w:t>The submission of applications for exemption from tuition fees takes place after the completion of the admission process of students to the MSc and within a period of time to be determined by the MSc itself.</w:t>
      </w:r>
    </w:p>
    <w:p w14:paraId="57DE1286" w14:textId="77777777" w:rsidR="006D3752" w:rsidRDefault="006D3752" w:rsidP="006D3752">
      <w:pPr>
        <w:widowControl w:val="0"/>
        <w:spacing w:after="120"/>
        <w:ind w:right="40"/>
        <w:rPr>
          <w:rFonts w:eastAsia="Batang" w:cs="Calibri"/>
          <w:bCs/>
          <w:lang w:val="en-US" w:eastAsia="ja-JP"/>
        </w:rPr>
      </w:pPr>
      <w:r>
        <w:rPr>
          <w:rFonts w:eastAsia="Batang" w:cs="Calibri"/>
          <w:b/>
          <w:bCs/>
          <w:lang w:val="en-US" w:eastAsia="ja-JP"/>
        </w:rPr>
        <w:t xml:space="preserve">12.3. </w:t>
      </w:r>
      <w:r>
        <w:rPr>
          <w:rFonts w:eastAsia="Batang" w:cs="Calibri"/>
          <w:bCs/>
          <w:lang w:val="en-US" w:eastAsia="ja-JP"/>
        </w:rPr>
        <w:t>Those who receive a scholarship from another source are not entitled to exemption from fees, nor are citizens of non-EU countries.</w:t>
      </w:r>
    </w:p>
    <w:p w14:paraId="7D798DB8" w14:textId="77777777" w:rsidR="006D3752" w:rsidRDefault="006D3752" w:rsidP="006D3752">
      <w:pPr>
        <w:widowControl w:val="0"/>
        <w:spacing w:after="120"/>
        <w:ind w:right="40"/>
        <w:rPr>
          <w:rFonts w:eastAsia="Batang" w:cs="Calibri"/>
          <w:bCs/>
          <w:lang w:val="en-US" w:eastAsia="ja-JP"/>
        </w:rPr>
      </w:pPr>
      <w:r>
        <w:rPr>
          <w:rFonts w:eastAsia="Batang" w:cs="Calibri"/>
          <w:b/>
          <w:bCs/>
          <w:lang w:val="en-US" w:eastAsia="ja-JP"/>
        </w:rPr>
        <w:t xml:space="preserve">12. 4. </w:t>
      </w:r>
      <w:r>
        <w:rPr>
          <w:rFonts w:eastAsia="Batang" w:cs="Calibri"/>
          <w:bCs/>
          <w:lang w:val="en-US" w:eastAsia="ja-JP"/>
        </w:rPr>
        <w:t>The examination of the criteria for exemption from tuition fees is carried out by the Curriculum Committee and a reasoned decision is issued on the acceptance or rejection of the application.</w:t>
      </w:r>
    </w:p>
    <w:p w14:paraId="3B3ED364" w14:textId="77777777" w:rsidR="006D3752" w:rsidRDefault="006D3752" w:rsidP="006D3752">
      <w:pPr>
        <w:widowControl w:val="0"/>
        <w:spacing w:after="120"/>
        <w:ind w:right="40"/>
        <w:rPr>
          <w:rFonts w:eastAsia="Batang" w:cs="Calibri"/>
          <w:bCs/>
          <w:lang w:val="en-US" w:eastAsia="ja-JP"/>
        </w:rPr>
      </w:pPr>
      <w:r>
        <w:rPr>
          <w:rFonts w:eastAsia="Batang" w:cs="Calibri"/>
          <w:b/>
          <w:bCs/>
          <w:lang w:val="en-US" w:eastAsia="ja-JP"/>
        </w:rPr>
        <w:t xml:space="preserve">12.5 </w:t>
      </w:r>
      <w:r>
        <w:rPr>
          <w:rFonts w:eastAsia="Batang" w:cs="Calibri"/>
          <w:bCs/>
          <w:lang w:val="en-US" w:eastAsia="ja-JP"/>
        </w:rPr>
        <w:t>If the current legislation sets an age criterion, it is recommended, for reasons of good administration and equal treatment, that the date of birth of the students is the 31st of December of the year of birth.</w:t>
      </w:r>
    </w:p>
    <w:p w14:paraId="74406D6E" w14:textId="77777777" w:rsidR="006D3752" w:rsidRDefault="006D3752" w:rsidP="006D3752">
      <w:pPr>
        <w:widowControl w:val="0"/>
        <w:spacing w:after="120"/>
        <w:ind w:right="40"/>
        <w:rPr>
          <w:rFonts w:eastAsia="Calibri" w:cs="Times New Roman"/>
          <w:b/>
          <w:color w:val="2E74B5"/>
          <w:sz w:val="28"/>
          <w:szCs w:val="28"/>
          <w:lang w:val="en-US"/>
        </w:rPr>
      </w:pPr>
    </w:p>
    <w:p w14:paraId="66B30773" w14:textId="77777777" w:rsidR="006D3752" w:rsidRPr="00257782" w:rsidRDefault="006D3752" w:rsidP="006D3752">
      <w:pPr>
        <w:pStyle w:val="2"/>
        <w:spacing w:before="0" w:after="120" w:line="254" w:lineRule="auto"/>
        <w:rPr>
          <w:rStyle w:val="normalchar1"/>
          <w:rFonts w:ascii="Calibri" w:hAnsi="Calibri"/>
          <w:sz w:val="26"/>
          <w:lang w:val="en-US"/>
        </w:rPr>
      </w:pPr>
      <w:bookmarkStart w:id="29" w:name="_Toc197974942"/>
      <w:bookmarkStart w:id="30" w:name="_Toc197974983"/>
      <w:r w:rsidRPr="00257782">
        <w:rPr>
          <w:rStyle w:val="normalchar1"/>
          <w:sz w:val="26"/>
          <w:lang w:val="en-US"/>
        </w:rPr>
        <w:t>ARTICLE 13. SUPPLEMENTS</w:t>
      </w:r>
      <w:bookmarkEnd w:id="29"/>
      <w:bookmarkEnd w:id="30"/>
    </w:p>
    <w:p w14:paraId="7D31B598" w14:textId="77777777" w:rsidR="006D3752" w:rsidRPr="00257782" w:rsidRDefault="006D3752" w:rsidP="006D3752">
      <w:pPr>
        <w:spacing w:after="120"/>
        <w:rPr>
          <w:rFonts w:eastAsia="Calibri"/>
          <w:lang w:val="en-US"/>
        </w:rPr>
      </w:pPr>
      <w:r>
        <w:rPr>
          <w:lang w:val="en-US"/>
        </w:rPr>
        <w:t>Partial tuition fee waiver scholarships for excellence may be awarded, taking into account academic and social criteria, or reciprocal scholarships may be awarded. The number of scholarships will depend on the income of the MSc and the final decision will be taken by the EPC of the MSc.</w:t>
      </w:r>
    </w:p>
    <w:p w14:paraId="77107ADB" w14:textId="77777777" w:rsidR="006D3752" w:rsidRDefault="006D3752" w:rsidP="006D3752">
      <w:pPr>
        <w:spacing w:after="120"/>
        <w:rPr>
          <w:lang w:val="en-US"/>
        </w:rPr>
      </w:pPr>
      <w:r>
        <w:rPr>
          <w:lang w:val="en-US"/>
        </w:rPr>
        <w:t>Scholarships are not awarded if the postgraduate student is already receiving a scholarship from another source.</w:t>
      </w:r>
    </w:p>
    <w:p w14:paraId="4E462077" w14:textId="1EBBA15C" w:rsidR="006D3752" w:rsidRDefault="006D3752" w:rsidP="006D3752">
      <w:pPr>
        <w:spacing w:after="120"/>
        <w:rPr>
          <w:lang w:val="en-US"/>
        </w:rPr>
      </w:pPr>
      <w:r>
        <w:rPr>
          <w:lang w:val="en-US"/>
        </w:rPr>
        <w:t xml:space="preserve">Scholarships are not awarded to students who have been admitted to the </w:t>
      </w:r>
      <w:r w:rsidR="00542CB3">
        <w:rPr>
          <w:rFonts w:cs="Calibri"/>
          <w:color w:val="000000"/>
          <w:lang w:val="en-US"/>
        </w:rPr>
        <w:t>PSP</w:t>
      </w:r>
      <w:r>
        <w:rPr>
          <w:rFonts w:cs="Calibri"/>
          <w:color w:val="000000"/>
          <w:lang w:val="en-US"/>
        </w:rPr>
        <w:t xml:space="preserve"> </w:t>
      </w:r>
      <w:r>
        <w:rPr>
          <w:lang w:val="en-US"/>
        </w:rPr>
        <w:t>without the obligation to pay tuition fees.</w:t>
      </w:r>
    </w:p>
    <w:p w14:paraId="73584746" w14:textId="77777777" w:rsidR="006D3752" w:rsidRDefault="006D3752" w:rsidP="006D3752">
      <w:pPr>
        <w:widowControl w:val="0"/>
        <w:spacing w:after="120"/>
        <w:ind w:right="40"/>
        <w:rPr>
          <w:rFonts w:eastAsia="Batang" w:cs="Calibri"/>
          <w:bCs/>
          <w:sz w:val="26"/>
          <w:szCs w:val="26"/>
          <w:lang w:val="en-US" w:eastAsia="ja-JP"/>
        </w:rPr>
      </w:pPr>
    </w:p>
    <w:p w14:paraId="1CB344AA" w14:textId="261A09A3" w:rsidR="006D3752" w:rsidRPr="00257782" w:rsidRDefault="006D3752" w:rsidP="006D3752">
      <w:pPr>
        <w:pStyle w:val="2"/>
        <w:spacing w:before="0" w:after="120" w:line="254" w:lineRule="auto"/>
        <w:rPr>
          <w:rStyle w:val="normalchar1"/>
          <w:rFonts w:ascii="Calibri" w:hAnsi="Calibri"/>
          <w:sz w:val="26"/>
          <w:lang w:val="en-US"/>
        </w:rPr>
      </w:pPr>
      <w:bookmarkStart w:id="31" w:name="_Toc197974943"/>
      <w:bookmarkStart w:id="32" w:name="_Toc197974984"/>
      <w:r w:rsidRPr="00257782">
        <w:rPr>
          <w:rStyle w:val="normalchar1"/>
          <w:sz w:val="26"/>
          <w:lang w:val="en-US"/>
        </w:rPr>
        <w:t xml:space="preserve">ARTICLE 14. INFRASTRUCTURE AND FINANCING OF THE </w:t>
      </w:r>
      <w:r w:rsidR="009B26FB">
        <w:rPr>
          <w:rStyle w:val="normalchar1"/>
          <w:sz w:val="26"/>
          <w:lang w:val="en-US"/>
        </w:rPr>
        <w:t>PSP</w:t>
      </w:r>
      <w:r w:rsidRPr="00257782">
        <w:rPr>
          <w:rStyle w:val="normalchar1"/>
          <w:sz w:val="26"/>
          <w:lang w:val="en-US"/>
        </w:rPr>
        <w:t>.</w:t>
      </w:r>
      <w:bookmarkEnd w:id="31"/>
      <w:bookmarkEnd w:id="32"/>
    </w:p>
    <w:p w14:paraId="245DE788" w14:textId="43B0A5D2" w:rsidR="006D3752" w:rsidRPr="00257782" w:rsidRDefault="006D3752" w:rsidP="006D3752">
      <w:pPr>
        <w:spacing w:line="276" w:lineRule="auto"/>
        <w:rPr>
          <w:rFonts w:eastAsia="Times New Roman" w:cs="Calibri"/>
          <w:lang w:val="en-US" w:eastAsia="el-GR"/>
        </w:rPr>
      </w:pPr>
      <w:r>
        <w:rPr>
          <w:b/>
          <w:lang w:val="en-US"/>
        </w:rPr>
        <w:t>14</w:t>
      </w:r>
      <w:r>
        <w:rPr>
          <w:lang w:val="en-US"/>
        </w:rPr>
        <w:t>.</w:t>
      </w:r>
      <w:r>
        <w:rPr>
          <w:b/>
          <w:lang w:val="en-US"/>
        </w:rPr>
        <w:t xml:space="preserve">1 </w:t>
      </w:r>
      <w:r>
        <w:rPr>
          <w:rFonts w:eastAsia="Times New Roman" w:cs="Calibri"/>
          <w:lang w:val="en-US" w:eastAsia="el-GR"/>
        </w:rPr>
        <w:t>For the proper operation of the MSc, the necessary logistical infrastructure of the Department of Business Administration of the Faculty of Economics and Management Science</w:t>
      </w:r>
      <w:r w:rsidR="005C0AA2">
        <w:rPr>
          <w:rFonts w:eastAsia="Times New Roman" w:cs="Calibri"/>
          <w:lang w:val="en-US" w:eastAsia="el-GR"/>
        </w:rPr>
        <w:t>s of the University of Thessaly</w:t>
      </w:r>
      <w:r>
        <w:rPr>
          <w:rFonts w:eastAsia="Times New Roman" w:cs="Calibri"/>
          <w:lang w:val="en-US" w:eastAsia="el-GR"/>
        </w:rPr>
        <w:t>. The existing logistical infrastructure covers the needs of the operation of the MSc.</w:t>
      </w:r>
    </w:p>
    <w:p w14:paraId="4188019B" w14:textId="77777777" w:rsidR="006D3752" w:rsidRDefault="006D3752" w:rsidP="006D3752">
      <w:pPr>
        <w:spacing w:after="120"/>
        <w:rPr>
          <w:rFonts w:eastAsia="Calibri" w:cs="Times New Roman"/>
          <w:lang w:val="en-US"/>
        </w:rPr>
      </w:pPr>
      <w:r>
        <w:rPr>
          <w:b/>
          <w:lang w:val="en-US"/>
        </w:rPr>
        <w:t xml:space="preserve">14.2 </w:t>
      </w:r>
      <w:r>
        <w:rPr>
          <w:lang w:val="en-US"/>
        </w:rPr>
        <w:t>For the needs of the administrative support of the I.P.M.S. there is a Secretariat, which performs the tasks of full administrative and secretarial support of the I.P.M.S. and is responsible for the smooth, efficient and orderly operation of the I.P.M.S.</w:t>
      </w:r>
    </w:p>
    <w:p w14:paraId="19B26FCD" w14:textId="77777777" w:rsidR="006D3752" w:rsidRDefault="006D3752" w:rsidP="006D3752">
      <w:pPr>
        <w:spacing w:after="120"/>
        <w:rPr>
          <w:lang w:val="en-US"/>
        </w:rPr>
      </w:pPr>
      <w:r>
        <w:rPr>
          <w:b/>
          <w:lang w:val="en-US"/>
        </w:rPr>
        <w:t xml:space="preserve">14.3 </w:t>
      </w:r>
      <w:r>
        <w:rPr>
          <w:lang w:val="en-US"/>
        </w:rPr>
        <w:t>The funding of the MSc may come from:</w:t>
      </w:r>
    </w:p>
    <w:p w14:paraId="6D77D2CD" w14:textId="77777777" w:rsidR="006D3752" w:rsidRDefault="006D3752" w:rsidP="006D3752">
      <w:pPr>
        <w:spacing w:after="120"/>
        <w:rPr>
          <w:lang w:val="en-US"/>
        </w:rPr>
      </w:pPr>
      <w:r>
        <w:rPr>
          <w:lang w:val="en-US"/>
        </w:rPr>
        <w:t>a) tuition fees</w:t>
      </w:r>
    </w:p>
    <w:p w14:paraId="28DEFFAE" w14:textId="77777777" w:rsidR="006D3752" w:rsidRDefault="006D3752" w:rsidP="006D3752">
      <w:pPr>
        <w:spacing w:after="120"/>
        <w:rPr>
          <w:lang w:val="en-US"/>
        </w:rPr>
      </w:pPr>
      <w:r>
        <w:rPr>
          <w:lang w:val="en-US"/>
        </w:rPr>
        <w:t>b) donations, sponsorships and financial aid of any kind,</w:t>
      </w:r>
    </w:p>
    <w:p w14:paraId="0E037DC5" w14:textId="77777777" w:rsidR="006D3752" w:rsidRDefault="006D3752" w:rsidP="006D3752">
      <w:pPr>
        <w:spacing w:after="120"/>
        <w:rPr>
          <w:lang w:val="en-US"/>
        </w:rPr>
      </w:pPr>
      <w:r>
        <w:rPr>
          <w:lang w:val="en-US"/>
        </w:rPr>
        <w:lastRenderedPageBreak/>
        <w:t>(c) legacies</w:t>
      </w:r>
    </w:p>
    <w:p w14:paraId="36FCB3F3" w14:textId="77777777" w:rsidR="006D3752" w:rsidRDefault="006D3752" w:rsidP="006D3752">
      <w:pPr>
        <w:spacing w:after="120"/>
        <w:rPr>
          <w:lang w:val="en-US"/>
        </w:rPr>
      </w:pPr>
      <w:r>
        <w:rPr>
          <w:lang w:val="en-US"/>
        </w:rPr>
        <w:t>(d) resources from research projects or programmes</w:t>
      </w:r>
    </w:p>
    <w:p w14:paraId="179052C3" w14:textId="77777777" w:rsidR="006D3752" w:rsidRDefault="006D3752" w:rsidP="006D3752">
      <w:pPr>
        <w:spacing w:after="120"/>
        <w:rPr>
          <w:lang w:val="en-US"/>
        </w:rPr>
      </w:pPr>
      <w:r>
        <w:rPr>
          <w:lang w:val="en-US"/>
        </w:rPr>
        <w:t>(e) any other lawful source</w:t>
      </w:r>
    </w:p>
    <w:p w14:paraId="16C3C262" w14:textId="3CA6905B" w:rsidR="006D3752" w:rsidRDefault="006D3752" w:rsidP="006D3752">
      <w:pPr>
        <w:spacing w:after="120"/>
        <w:rPr>
          <w:lang w:val="en-US"/>
        </w:rPr>
      </w:pPr>
      <w:r>
        <w:rPr>
          <w:b/>
          <w:lang w:val="en-US"/>
        </w:rPr>
        <w:t xml:space="preserve">14.4. </w:t>
      </w:r>
      <w:r w:rsidRPr="005C0AA2">
        <w:rPr>
          <w:lang w:val="en-US"/>
        </w:rPr>
        <w:t xml:space="preserve">The </w:t>
      </w:r>
      <w:r>
        <w:rPr>
          <w:lang w:val="en-US"/>
        </w:rPr>
        <w:t xml:space="preserve">management of the resources of the </w:t>
      </w:r>
      <w:r w:rsidR="00542CB3">
        <w:rPr>
          <w:lang w:val="en-US"/>
        </w:rPr>
        <w:t>PSP</w:t>
      </w:r>
      <w:r>
        <w:rPr>
          <w:lang w:val="en-US"/>
        </w:rPr>
        <w:t xml:space="preserve"> is carried out by the Special Account for Research Funds (ELKE) of the University of </w:t>
      </w:r>
      <w:r w:rsidR="00B65A55">
        <w:rPr>
          <w:lang w:val="en-US"/>
        </w:rPr>
        <w:t>Thessaly.</w:t>
      </w:r>
      <w:r>
        <w:rPr>
          <w:lang w:val="en-US"/>
        </w:rPr>
        <w:t xml:space="preserve"> </w:t>
      </w:r>
    </w:p>
    <w:p w14:paraId="6F04DE46" w14:textId="77777777" w:rsidR="006D3752" w:rsidRDefault="006D3752" w:rsidP="006D3752">
      <w:pPr>
        <w:spacing w:after="120"/>
        <w:rPr>
          <w:lang w:val="en-US"/>
        </w:rPr>
      </w:pPr>
      <w:r>
        <w:rPr>
          <w:b/>
          <w:lang w:val="en-US"/>
        </w:rPr>
        <w:t xml:space="preserve">14.5.  </w:t>
      </w:r>
      <w:r w:rsidRPr="005C0AA2">
        <w:rPr>
          <w:lang w:val="en-US"/>
        </w:rPr>
        <w:t xml:space="preserve">The </w:t>
      </w:r>
      <w:r>
        <w:rPr>
          <w:lang w:val="en-US"/>
        </w:rPr>
        <w:t>resources of the MSc are distributed as follows:</w:t>
      </w:r>
    </w:p>
    <w:p w14:paraId="28D017DF" w14:textId="63D315E3" w:rsidR="006D3752" w:rsidRDefault="006D3752" w:rsidP="006D3752">
      <w:pPr>
        <w:spacing w:after="120"/>
        <w:rPr>
          <w:lang w:val="en-US"/>
        </w:rPr>
      </w:pPr>
      <w:r>
        <w:rPr>
          <w:lang w:val="en-US"/>
        </w:rPr>
        <w:t xml:space="preserve"> a) An amount corresponding to thirty percent (30%) of the total revenue from tuition fees is withheld by the National Board of Education.</w:t>
      </w:r>
      <w:r w:rsidR="00E73706">
        <w:rPr>
          <w:lang w:val="en-US"/>
        </w:rPr>
        <w:t xml:space="preserve"> </w:t>
      </w:r>
      <w:r>
        <w:rPr>
          <w:lang w:val="en-US"/>
        </w:rPr>
        <w:t xml:space="preserve">This amount includes the percentage of withholding in favour of the National Board of Education for the financial management of the P.M.S.L.L.C.E. is transferred to the regular budget or is allocated for the creation of projects/programmes through the L.L.C.E. in order to cover, on a priority basis, the needs of MSc programmes that operate without tuition fees and to cover the research, educational and operational needs of the UAS. </w:t>
      </w:r>
    </w:p>
    <w:p w14:paraId="523083FA" w14:textId="77777777" w:rsidR="006D3752" w:rsidRDefault="006D3752" w:rsidP="006D3752">
      <w:pPr>
        <w:spacing w:after="120"/>
        <w:rPr>
          <w:lang w:val="en-US"/>
        </w:rPr>
      </w:pPr>
      <w:r>
        <w:rPr>
          <w:lang w:val="en-US"/>
        </w:rPr>
        <w:t xml:space="preserve">The E.L.C.E. withholds 12% of the income of the MSc from donations, sponsorships and financial aid of any kind, bequests and funds from research projects or programmes. </w:t>
      </w:r>
    </w:p>
    <w:p w14:paraId="2A43EFFA" w14:textId="77777777" w:rsidR="006D3752" w:rsidRDefault="006D3752" w:rsidP="006D3752">
      <w:pPr>
        <w:spacing w:after="120"/>
        <w:rPr>
          <w:lang w:val="en-US"/>
        </w:rPr>
      </w:pPr>
      <w:r>
        <w:rPr>
          <w:lang w:val="en-US"/>
        </w:rPr>
        <w:t xml:space="preserve">b) The remaining amount of the total income is allocated to the operating costs of the programme. </w:t>
      </w:r>
    </w:p>
    <w:p w14:paraId="0B5A21B7" w14:textId="77777777" w:rsidR="006D3752" w:rsidRDefault="006D3752" w:rsidP="006D3752">
      <w:pPr>
        <w:spacing w:after="120"/>
        <w:rPr>
          <w:lang w:val="en-US"/>
        </w:rPr>
      </w:pPr>
    </w:p>
    <w:p w14:paraId="1BCC1F6E" w14:textId="53685085" w:rsidR="006D3752" w:rsidRPr="00257782" w:rsidRDefault="006D3752" w:rsidP="006D3752">
      <w:pPr>
        <w:pStyle w:val="2"/>
        <w:spacing w:before="0" w:after="120" w:line="254" w:lineRule="auto"/>
        <w:rPr>
          <w:rStyle w:val="normalchar1"/>
          <w:rFonts w:ascii="Calibri" w:hAnsi="Calibri"/>
          <w:sz w:val="26"/>
          <w:lang w:val="en-US"/>
        </w:rPr>
      </w:pPr>
      <w:bookmarkStart w:id="33" w:name="_Toc197974944"/>
      <w:bookmarkStart w:id="34" w:name="_Toc197974985"/>
      <w:r w:rsidRPr="00257782">
        <w:rPr>
          <w:rStyle w:val="normalchar1"/>
          <w:sz w:val="26"/>
          <w:lang w:val="en-US"/>
        </w:rPr>
        <w:t xml:space="preserve">ARTICLE 15. TEACHING ASSIGNMENT/TEACHERS IN THE </w:t>
      </w:r>
      <w:r w:rsidR="00542CB3">
        <w:rPr>
          <w:rStyle w:val="normalchar1"/>
          <w:sz w:val="26"/>
          <w:lang w:val="en-US"/>
        </w:rPr>
        <w:t>PSP</w:t>
      </w:r>
      <w:bookmarkEnd w:id="33"/>
      <w:bookmarkEnd w:id="34"/>
    </w:p>
    <w:p w14:paraId="00DE906A" w14:textId="7E53FD9B" w:rsidR="006D3752" w:rsidRPr="00257782" w:rsidRDefault="006D3752" w:rsidP="006D3752">
      <w:pPr>
        <w:spacing w:after="120"/>
        <w:ind w:right="282"/>
        <w:outlineLvl w:val="6"/>
        <w:rPr>
          <w:rFonts w:eastAsia="Calibri"/>
          <w:b/>
          <w:color w:val="2E74B5"/>
          <w:lang w:val="en-US"/>
        </w:rPr>
      </w:pPr>
      <w:r>
        <w:rPr>
          <w:b/>
          <w:lang w:val="en-US"/>
        </w:rPr>
        <w:t xml:space="preserve">15.1 </w:t>
      </w:r>
      <w:r>
        <w:rPr>
          <w:lang w:val="en-US"/>
        </w:rPr>
        <w:t xml:space="preserve">The teaching work of the </w:t>
      </w:r>
      <w:r w:rsidR="00542CB3">
        <w:rPr>
          <w:lang w:val="en-US"/>
        </w:rPr>
        <w:t>PSP</w:t>
      </w:r>
      <w:r>
        <w:rPr>
          <w:lang w:val="en-US"/>
        </w:rPr>
        <w:t xml:space="preserve"> is assigned, following a decision of the </w:t>
      </w:r>
      <w:r w:rsidR="00847A1C">
        <w:rPr>
          <w:lang w:val="en-US"/>
        </w:rPr>
        <w:t>SC</w:t>
      </w:r>
      <w:r>
        <w:rPr>
          <w:lang w:val="en-US"/>
        </w:rPr>
        <w:t xml:space="preserve">., to the following categories of lecturers: </w:t>
      </w:r>
    </w:p>
    <w:p w14:paraId="7556D0A0" w14:textId="77777777" w:rsidR="006D3752" w:rsidRDefault="006D3752" w:rsidP="006D3752">
      <w:pPr>
        <w:autoSpaceDE w:val="0"/>
        <w:autoSpaceDN w:val="0"/>
        <w:adjustRightInd w:val="0"/>
        <w:spacing w:after="120"/>
        <w:ind w:right="282"/>
        <w:rPr>
          <w:lang w:val="en-US"/>
        </w:rPr>
      </w:pPr>
      <w:r>
        <w:t>α</w:t>
      </w:r>
      <w:r>
        <w:rPr>
          <w:lang w:val="en-US"/>
        </w:rPr>
        <w:t>) Members of Teaching Research Staff (D.R.P.), Special Education Staff (S.E.P.), Laboratory Teaching Staff (L.E.T.P.) and Special Technical Laboratory Staff (S.T.L.P.).) of the Department or other Departments of the same or another Higher Educational Institution (HEI) or Higher Military Educational Institution (HEMI), with additional employment beyond their legal obligations, if the MSc has tuition fees.</w:t>
      </w:r>
    </w:p>
    <w:p w14:paraId="1E8E8B15" w14:textId="77777777" w:rsidR="006D3752" w:rsidRDefault="006D3752" w:rsidP="006D3752">
      <w:pPr>
        <w:autoSpaceDE w:val="0"/>
        <w:autoSpaceDN w:val="0"/>
        <w:adjustRightInd w:val="0"/>
        <w:spacing w:after="120"/>
        <w:ind w:right="282" w:hanging="284"/>
        <w:rPr>
          <w:lang w:val="en-US"/>
        </w:rPr>
      </w:pPr>
      <w:r>
        <w:rPr>
          <w:lang w:val="en-US"/>
        </w:rPr>
        <w:t xml:space="preserve">      b)Emeritus Professors or retired members of the Department or other Departments of the same or other universities.</w:t>
      </w:r>
    </w:p>
    <w:p w14:paraId="5D7A5482" w14:textId="77777777" w:rsidR="006D3752" w:rsidRDefault="006D3752" w:rsidP="006D3752">
      <w:pPr>
        <w:autoSpaceDE w:val="0"/>
        <w:autoSpaceDN w:val="0"/>
        <w:adjustRightInd w:val="0"/>
        <w:spacing w:after="120"/>
        <w:ind w:right="282" w:hanging="284"/>
        <w:rPr>
          <w:lang w:val="en-US"/>
        </w:rPr>
      </w:pPr>
      <w:r>
        <w:rPr>
          <w:lang w:val="en-US"/>
        </w:rPr>
        <w:t xml:space="preserve">      c) Associate professors.</w:t>
      </w:r>
    </w:p>
    <w:p w14:paraId="3908DBB0" w14:textId="77777777" w:rsidR="006D3752" w:rsidRDefault="006D3752" w:rsidP="006D3752">
      <w:pPr>
        <w:autoSpaceDE w:val="0"/>
        <w:autoSpaceDN w:val="0"/>
        <w:adjustRightInd w:val="0"/>
        <w:spacing w:after="120"/>
        <w:ind w:right="282" w:hanging="284"/>
        <w:rPr>
          <w:lang w:val="en-US"/>
        </w:rPr>
      </w:pPr>
      <w:r>
        <w:rPr>
          <w:lang w:val="en-US"/>
        </w:rPr>
        <w:t xml:space="preserve">      d) Associate professors.</w:t>
      </w:r>
    </w:p>
    <w:p w14:paraId="23E0CE53" w14:textId="77777777" w:rsidR="006D3752" w:rsidRDefault="006D3752" w:rsidP="006D3752">
      <w:pPr>
        <w:autoSpaceDE w:val="0"/>
        <w:autoSpaceDN w:val="0"/>
        <w:adjustRightInd w:val="0"/>
        <w:spacing w:after="120"/>
        <w:ind w:right="282"/>
        <w:rPr>
          <w:lang w:val="en-US"/>
        </w:rPr>
      </w:pPr>
      <w:r>
        <w:rPr>
          <w:lang w:val="en-US"/>
        </w:rPr>
        <w:t xml:space="preserve">e) Visiting professors or visiting researchers. </w:t>
      </w:r>
    </w:p>
    <w:p w14:paraId="02580266" w14:textId="77777777" w:rsidR="006D3752" w:rsidRDefault="006D3752" w:rsidP="006D3752">
      <w:pPr>
        <w:autoSpaceDE w:val="0"/>
        <w:autoSpaceDN w:val="0"/>
        <w:adjustRightInd w:val="0"/>
        <w:spacing w:after="120"/>
        <w:ind w:right="282"/>
        <w:rPr>
          <w:lang w:val="en-US"/>
        </w:rPr>
      </w:pPr>
      <w:r>
        <w:rPr>
          <w:lang w:val="en-US"/>
        </w:rPr>
        <w:t>f) Researchers and special operational scientists of research and technological institutions of article 13A of Law No. 4310/2014 (A' 258) or other research centres and institutes in Greece or abroad.</w:t>
      </w:r>
    </w:p>
    <w:p w14:paraId="0560B808" w14:textId="77777777" w:rsidR="006D3752" w:rsidRDefault="006D3752" w:rsidP="006D3752">
      <w:pPr>
        <w:autoSpaceDE w:val="0"/>
        <w:autoSpaceDN w:val="0"/>
        <w:adjustRightInd w:val="0"/>
        <w:spacing w:after="120"/>
        <w:ind w:right="282"/>
        <w:rPr>
          <w:lang w:val="en-US"/>
        </w:rPr>
      </w:pPr>
      <w:r>
        <w:rPr>
          <w:lang w:val="en-US"/>
        </w:rPr>
        <w:t>g) Scientists of recognized prestige, who have specialized knowledge and relevant experience in the subject of the MSc.</w:t>
      </w:r>
    </w:p>
    <w:p w14:paraId="6A80CE7E" w14:textId="77777777" w:rsidR="006D3752" w:rsidRDefault="006D3752" w:rsidP="009B26FB">
      <w:pPr>
        <w:autoSpaceDE w:val="0"/>
        <w:autoSpaceDN w:val="0"/>
        <w:adjustRightInd w:val="0"/>
        <w:spacing w:after="120"/>
        <w:ind w:right="282"/>
        <w:rPr>
          <w:lang w:val="en-US"/>
        </w:rPr>
      </w:pPr>
      <w:r>
        <w:rPr>
          <w:lang w:val="en-US"/>
        </w:rPr>
        <w:t>By decision of the Assembly of the Department, doctoral candidates of the Department or the School may be assigned to assist in teaching under the supervision of a lecturer of the MSc.</w:t>
      </w:r>
    </w:p>
    <w:p w14:paraId="6A7EA276" w14:textId="77777777" w:rsidR="006D3752" w:rsidRDefault="006D3752" w:rsidP="006D3752">
      <w:pPr>
        <w:autoSpaceDE w:val="0"/>
        <w:autoSpaceDN w:val="0"/>
        <w:adjustRightInd w:val="0"/>
        <w:spacing w:after="120"/>
        <w:ind w:right="282"/>
        <w:rPr>
          <w:lang w:val="en-US"/>
        </w:rPr>
      </w:pPr>
      <w:r>
        <w:rPr>
          <w:b/>
          <w:lang w:val="en-US"/>
        </w:rPr>
        <w:t xml:space="preserve">15.2. </w:t>
      </w:r>
      <w:r>
        <w:rPr>
          <w:lang w:val="en-US"/>
        </w:rPr>
        <w:t>The obligations of teachers include:</w:t>
      </w:r>
    </w:p>
    <w:p w14:paraId="172B6C99" w14:textId="77777777" w:rsidR="006D3752" w:rsidRDefault="006D3752" w:rsidP="00FB6783">
      <w:pPr>
        <w:pStyle w:val="af1"/>
        <w:numPr>
          <w:ilvl w:val="0"/>
          <w:numId w:val="32"/>
        </w:numPr>
        <w:spacing w:after="120" w:line="352" w:lineRule="auto"/>
        <w:ind w:right="166"/>
        <w:rPr>
          <w:rFonts w:ascii="Calibri" w:hAnsi="Calibri" w:cs="Calibri"/>
          <w:sz w:val="22"/>
          <w:szCs w:val="22"/>
          <w:lang w:val="en-US"/>
        </w:rPr>
      </w:pPr>
      <w:r>
        <w:rPr>
          <w:rFonts w:ascii="Calibri" w:hAnsi="Calibri" w:cs="Calibri"/>
          <w:sz w:val="22"/>
          <w:szCs w:val="22"/>
          <w:lang w:val="en-US"/>
        </w:rPr>
        <w:t xml:space="preserve">the observance of the course programme,   </w:t>
      </w:r>
    </w:p>
    <w:p w14:paraId="77F1FA5A" w14:textId="77777777" w:rsidR="006D3752" w:rsidRDefault="006D3752" w:rsidP="00FB6783">
      <w:pPr>
        <w:pStyle w:val="af1"/>
        <w:numPr>
          <w:ilvl w:val="0"/>
          <w:numId w:val="32"/>
        </w:numPr>
        <w:spacing w:after="120" w:line="352" w:lineRule="auto"/>
        <w:ind w:right="166"/>
        <w:rPr>
          <w:rFonts w:ascii="Calibri" w:hAnsi="Calibri" w:cs="Calibri"/>
          <w:sz w:val="22"/>
          <w:szCs w:val="22"/>
          <w:lang w:val="en-US"/>
        </w:rPr>
      </w:pPr>
      <w:r>
        <w:rPr>
          <w:rFonts w:ascii="Calibri" w:hAnsi="Calibri" w:cs="Calibri"/>
          <w:sz w:val="22"/>
          <w:szCs w:val="22"/>
          <w:lang w:val="en-US"/>
        </w:rPr>
        <w:t xml:space="preserve">the writing of a detailed description of the course with reference to the objectives, the weekly structure of the teaching hours, the suggested bibliography/articles and the requirements of the course (practical exercises, presentations, etc.), </w:t>
      </w:r>
    </w:p>
    <w:p w14:paraId="191E478F" w14:textId="77777777" w:rsidR="006D3752" w:rsidRDefault="006D3752" w:rsidP="00FB6783">
      <w:pPr>
        <w:pStyle w:val="af1"/>
        <w:numPr>
          <w:ilvl w:val="0"/>
          <w:numId w:val="32"/>
        </w:numPr>
        <w:spacing w:after="120" w:line="352" w:lineRule="auto"/>
        <w:ind w:right="166"/>
        <w:rPr>
          <w:rFonts w:ascii="Calibri" w:hAnsi="Calibri" w:cs="Calibri"/>
          <w:sz w:val="22"/>
          <w:szCs w:val="22"/>
          <w:lang w:val="en-US"/>
        </w:rPr>
      </w:pPr>
      <w:r>
        <w:rPr>
          <w:rFonts w:ascii="Calibri" w:hAnsi="Calibri" w:cs="Calibri"/>
          <w:sz w:val="22"/>
          <w:szCs w:val="22"/>
          <w:lang w:val="en-US"/>
        </w:rPr>
        <w:lastRenderedPageBreak/>
        <w:t xml:space="preserve">the posting of the educational material on the modern and asynchronous tele-education platforms of the Universities from the beginning of each course, </w:t>
      </w:r>
    </w:p>
    <w:p w14:paraId="39ABEBFA" w14:textId="77777777" w:rsidR="006D3752" w:rsidRDefault="006D3752" w:rsidP="00FB6783">
      <w:pPr>
        <w:pStyle w:val="af1"/>
        <w:numPr>
          <w:ilvl w:val="0"/>
          <w:numId w:val="32"/>
        </w:numPr>
        <w:spacing w:after="120" w:line="352" w:lineRule="auto"/>
        <w:ind w:right="166"/>
        <w:rPr>
          <w:rFonts w:cs="Calibri"/>
          <w:lang w:val="en-US"/>
        </w:rPr>
      </w:pPr>
      <w:r>
        <w:rPr>
          <w:rFonts w:ascii="Calibri" w:hAnsi="Calibri" w:cs="Calibri"/>
          <w:sz w:val="22"/>
          <w:szCs w:val="22"/>
          <w:lang w:val="en-US"/>
        </w:rPr>
        <w:t xml:space="preserve">the completion of the students' attendance register, </w:t>
      </w:r>
    </w:p>
    <w:p w14:paraId="1388A40C" w14:textId="77777777" w:rsidR="006D3752" w:rsidRDefault="006D3752" w:rsidP="00FB6783">
      <w:pPr>
        <w:pStyle w:val="af1"/>
        <w:numPr>
          <w:ilvl w:val="0"/>
          <w:numId w:val="32"/>
        </w:numPr>
        <w:spacing w:after="120" w:line="352" w:lineRule="auto"/>
        <w:ind w:right="166"/>
        <w:rPr>
          <w:rFonts w:cs="Calibri"/>
          <w:lang w:val="en-US"/>
        </w:rPr>
      </w:pPr>
      <w:r>
        <w:rPr>
          <w:rFonts w:ascii="Calibri" w:hAnsi="Calibri" w:cs="Calibri"/>
          <w:sz w:val="22"/>
          <w:szCs w:val="22"/>
          <w:lang w:val="en-US"/>
        </w:rPr>
        <w:t xml:space="preserve">keeping two office hours per week for meetings with postgraduate students, </w:t>
      </w:r>
    </w:p>
    <w:p w14:paraId="7C0A2C1C" w14:textId="77777777" w:rsidR="006D3752" w:rsidRDefault="006D3752" w:rsidP="00FB6783">
      <w:pPr>
        <w:pStyle w:val="af1"/>
        <w:numPr>
          <w:ilvl w:val="0"/>
          <w:numId w:val="32"/>
        </w:numPr>
        <w:spacing w:after="120" w:line="352" w:lineRule="auto"/>
        <w:ind w:right="166"/>
        <w:rPr>
          <w:rFonts w:cs="Calibri"/>
          <w:lang w:val="en-US"/>
        </w:rPr>
      </w:pPr>
      <w:r>
        <w:rPr>
          <w:rFonts w:ascii="Calibri" w:hAnsi="Calibri" w:cs="Calibri"/>
          <w:sz w:val="22"/>
          <w:szCs w:val="22"/>
          <w:lang w:val="en-US"/>
        </w:rPr>
        <w:t xml:space="preserve">the organisation of examinations and the choice of subjects, </w:t>
      </w:r>
    </w:p>
    <w:p w14:paraId="2D4B2084" w14:textId="77777777" w:rsidR="006D3752" w:rsidRDefault="006D3752" w:rsidP="00FB6783">
      <w:pPr>
        <w:pStyle w:val="af1"/>
        <w:numPr>
          <w:ilvl w:val="0"/>
          <w:numId w:val="32"/>
        </w:numPr>
        <w:spacing w:after="120" w:line="352" w:lineRule="auto"/>
        <w:ind w:right="166"/>
        <w:rPr>
          <w:rFonts w:cs="Calibri"/>
          <w:lang w:val="en-US"/>
        </w:rPr>
      </w:pPr>
      <w:r>
        <w:rPr>
          <w:rFonts w:ascii="Calibri" w:hAnsi="Calibri" w:cs="Calibri"/>
          <w:sz w:val="22"/>
          <w:szCs w:val="22"/>
          <w:lang w:val="en-US"/>
        </w:rPr>
        <w:t xml:space="preserve">the justification of written examinations; and  </w:t>
      </w:r>
    </w:p>
    <w:p w14:paraId="362B229F" w14:textId="77777777" w:rsidR="006D3752" w:rsidRDefault="006D3752" w:rsidP="00FB6783">
      <w:pPr>
        <w:pStyle w:val="af1"/>
        <w:numPr>
          <w:ilvl w:val="0"/>
          <w:numId w:val="32"/>
        </w:numPr>
        <w:spacing w:after="120" w:line="352" w:lineRule="auto"/>
        <w:ind w:right="166"/>
        <w:rPr>
          <w:rFonts w:cs="Calibri"/>
          <w:lang w:val="en-US"/>
        </w:rPr>
      </w:pPr>
      <w:r>
        <w:rPr>
          <w:rFonts w:ascii="Calibri" w:hAnsi="Calibri" w:cs="Calibri"/>
          <w:sz w:val="22"/>
          <w:szCs w:val="22"/>
          <w:lang w:val="en-US"/>
        </w:rPr>
        <w:t xml:space="preserve">sending the score within ten (10) days from the date of the examination </w:t>
      </w:r>
    </w:p>
    <w:p w14:paraId="2FDC1038" w14:textId="77777777" w:rsidR="006D3752" w:rsidRDefault="006D3752" w:rsidP="006D3752">
      <w:pPr>
        <w:autoSpaceDE w:val="0"/>
        <w:autoSpaceDN w:val="0"/>
        <w:adjustRightInd w:val="0"/>
        <w:spacing w:after="120"/>
        <w:ind w:right="282"/>
        <w:rPr>
          <w:rFonts w:cs="Times New Roman"/>
          <w:lang w:val="en-US"/>
        </w:rPr>
      </w:pPr>
      <w:r>
        <w:rPr>
          <w:b/>
          <w:lang w:val="en-US"/>
        </w:rPr>
        <w:t xml:space="preserve">15.3 </w:t>
      </w:r>
      <w:r>
        <w:rPr>
          <w:lang w:val="en-US"/>
        </w:rPr>
        <w:t>According to the Special Cooperation Protocol, the two collaborating Departments contribute to the teaching work of the MSc.</w:t>
      </w:r>
    </w:p>
    <w:p w14:paraId="286701BF" w14:textId="77777777" w:rsidR="006D3752" w:rsidRDefault="006D3752" w:rsidP="006D3752">
      <w:pPr>
        <w:autoSpaceDE w:val="0"/>
        <w:autoSpaceDN w:val="0"/>
        <w:adjustRightInd w:val="0"/>
        <w:spacing w:after="120"/>
        <w:ind w:right="282"/>
        <w:rPr>
          <w:lang w:val="en-US"/>
        </w:rPr>
      </w:pPr>
      <w:r>
        <w:rPr>
          <w:b/>
          <w:lang w:val="en-US"/>
        </w:rPr>
        <w:t xml:space="preserve">15.4. </w:t>
      </w:r>
      <w:r>
        <w:rPr>
          <w:lang w:val="en-US"/>
        </w:rPr>
        <w:t>Members of the Teaching Research Staff (D.R.P.), Special Teaching Staff (S.T.P.), Laboratory Teaching Staff (L.T.P.) and Special Technical Laboratory Staff (S.T.L.P.) of the Department may be employed in P.M.S., only under the condition of fulfilling their minimum obligations regarding the provision of teaching work. Faculty members may not be employed exclusively in MSc programmes of the Department or Faculty.</w:t>
      </w:r>
    </w:p>
    <w:p w14:paraId="12BAC838" w14:textId="77777777" w:rsidR="006D3752" w:rsidRDefault="006D3752" w:rsidP="006D3752">
      <w:pPr>
        <w:autoSpaceDE w:val="0"/>
        <w:autoSpaceDN w:val="0"/>
        <w:adjustRightInd w:val="0"/>
        <w:spacing w:after="120"/>
        <w:ind w:right="282"/>
        <w:rPr>
          <w:rFonts w:cs="Calibri"/>
          <w:lang w:val="en-US"/>
        </w:rPr>
      </w:pPr>
      <w:r>
        <w:rPr>
          <w:rFonts w:cs="Calibri"/>
          <w:b/>
          <w:lang w:val="en-US"/>
        </w:rPr>
        <w:t xml:space="preserve">15.5 </w:t>
      </w:r>
      <w:r>
        <w:rPr>
          <w:rFonts w:cs="Calibri"/>
          <w:bCs/>
          <w:lang w:val="en-US"/>
        </w:rPr>
        <w:t xml:space="preserve">All categories of lecturers in the MSc may be remunerated exclusively from the resources of the MSc. </w:t>
      </w:r>
      <w:r>
        <w:rPr>
          <w:rFonts w:cs="Calibri"/>
          <w:lang w:val="en-US"/>
        </w:rPr>
        <w:t>In particular, the members of the teaching staff may be remunerated additionally for the work they contribute to the MSc, provided that:</w:t>
      </w:r>
    </w:p>
    <w:p w14:paraId="229FB8EE" w14:textId="77777777" w:rsidR="006D3752" w:rsidRDefault="006D3752" w:rsidP="00FB6783">
      <w:pPr>
        <w:pStyle w:val="af1"/>
        <w:numPr>
          <w:ilvl w:val="0"/>
          <w:numId w:val="33"/>
        </w:numPr>
        <w:autoSpaceDE w:val="0"/>
        <w:autoSpaceDN w:val="0"/>
        <w:adjustRightInd w:val="0"/>
        <w:spacing w:after="120" w:line="254" w:lineRule="auto"/>
        <w:ind w:right="282"/>
        <w:rPr>
          <w:rFonts w:ascii="Calibri" w:eastAsia="Calibri" w:hAnsi="Calibri" w:cs="Calibri"/>
          <w:bCs/>
          <w:sz w:val="22"/>
          <w:szCs w:val="22"/>
          <w:lang w:val="en-US"/>
        </w:rPr>
      </w:pPr>
      <w:r>
        <w:rPr>
          <w:rFonts w:ascii="Calibri" w:hAnsi="Calibri" w:cs="Calibri"/>
          <w:sz w:val="22"/>
          <w:szCs w:val="22"/>
          <w:lang w:val="en-US"/>
        </w:rPr>
        <w:t>provide teaching work: a) independent teaching of courses, both compulsory and elective, b) conducting workshops and laboratory exercises and c) clinical work and clinical exercises for student teaching.</w:t>
      </w:r>
    </w:p>
    <w:p w14:paraId="648638DB" w14:textId="77777777" w:rsidR="006D3752" w:rsidRDefault="006D3752" w:rsidP="00FB6783">
      <w:pPr>
        <w:pStyle w:val="af1"/>
        <w:numPr>
          <w:ilvl w:val="0"/>
          <w:numId w:val="33"/>
        </w:numPr>
        <w:autoSpaceDE w:val="0"/>
        <w:autoSpaceDN w:val="0"/>
        <w:adjustRightInd w:val="0"/>
        <w:spacing w:after="120" w:line="254" w:lineRule="auto"/>
        <w:ind w:right="282"/>
        <w:rPr>
          <w:rFonts w:ascii="Calibri" w:eastAsia="Calibri" w:hAnsi="Calibri" w:cs="Calibri"/>
          <w:bCs/>
          <w:sz w:val="22"/>
          <w:szCs w:val="22"/>
          <w:lang w:val="en-US"/>
        </w:rPr>
      </w:pPr>
      <w:r>
        <w:rPr>
          <w:rFonts w:ascii="Calibri" w:hAnsi="Calibri" w:cs="Calibri"/>
          <w:sz w:val="22"/>
          <w:szCs w:val="22"/>
          <w:lang w:val="en-US"/>
        </w:rPr>
        <w:t>The teaching work they provide in first and second cycle curricula and minor and short duration curricula of their Department or another Department is at least six (6) hours per week on average during the academic year.  No account shall be taken of any teaching work offered in second cycle curricula with additional pay, as well as foreign language curricula, winter and summer schools.</w:t>
      </w:r>
    </w:p>
    <w:p w14:paraId="0C4024D2" w14:textId="3F7A03CF" w:rsidR="006D3752" w:rsidRDefault="006D3752" w:rsidP="006D3752">
      <w:pPr>
        <w:autoSpaceDE w:val="0"/>
        <w:autoSpaceDN w:val="0"/>
        <w:adjustRightInd w:val="0"/>
        <w:spacing w:after="120"/>
        <w:ind w:right="282"/>
        <w:rPr>
          <w:rFonts w:ascii="Calibri" w:eastAsia="Calibri" w:hAnsi="Calibri" w:cs="Times New Roman"/>
          <w:lang w:val="en-US"/>
        </w:rPr>
      </w:pPr>
      <w:r>
        <w:rPr>
          <w:b/>
          <w:lang w:val="en-US"/>
        </w:rPr>
        <w:t xml:space="preserve">15.6 The </w:t>
      </w:r>
      <w:r>
        <w:rPr>
          <w:lang w:val="en-US"/>
        </w:rPr>
        <w:t xml:space="preserve">assignment of the teaching work of the MSc is made by a decision of the </w:t>
      </w:r>
      <w:r w:rsidR="00847A1C">
        <w:rPr>
          <w:lang w:val="en-US"/>
        </w:rPr>
        <w:t>SC</w:t>
      </w:r>
      <w:r>
        <w:rPr>
          <w:lang w:val="en-US"/>
        </w:rPr>
        <w:t>. before the beginning of the academic year. The assignment of teaching work may be modified during the academic year by a reasoned decision of the Board.</w:t>
      </w:r>
    </w:p>
    <w:p w14:paraId="13D1380D" w14:textId="77777777" w:rsidR="006D3752" w:rsidRDefault="006D3752" w:rsidP="006D3752">
      <w:pPr>
        <w:autoSpaceDE w:val="0"/>
        <w:autoSpaceDN w:val="0"/>
        <w:adjustRightInd w:val="0"/>
        <w:spacing w:after="120"/>
        <w:ind w:right="282"/>
        <w:rPr>
          <w:lang w:val="en-US"/>
        </w:rPr>
      </w:pPr>
    </w:p>
    <w:p w14:paraId="5C600132" w14:textId="77777777" w:rsidR="006D3752" w:rsidRPr="00257782" w:rsidRDefault="006D3752" w:rsidP="006D3752">
      <w:pPr>
        <w:pStyle w:val="2"/>
        <w:spacing w:before="0" w:after="120" w:line="254" w:lineRule="auto"/>
        <w:rPr>
          <w:rStyle w:val="normalchar1"/>
          <w:rFonts w:ascii="Calibri" w:hAnsi="Calibri"/>
          <w:sz w:val="26"/>
          <w:lang w:val="en-US"/>
        </w:rPr>
      </w:pPr>
      <w:bookmarkStart w:id="35" w:name="_Toc197974945"/>
      <w:bookmarkStart w:id="36" w:name="_Toc197974986"/>
      <w:r w:rsidRPr="00257782">
        <w:rPr>
          <w:rStyle w:val="normalchar1"/>
          <w:sz w:val="26"/>
          <w:lang w:val="en-US"/>
        </w:rPr>
        <w:t>ARTICLE 16. AWARD OF POSTGRADUATE DIPLOMA</w:t>
      </w:r>
      <w:bookmarkEnd w:id="35"/>
      <w:bookmarkEnd w:id="36"/>
    </w:p>
    <w:p w14:paraId="6A1AB706" w14:textId="77777777" w:rsidR="006D3752" w:rsidRPr="00257782" w:rsidRDefault="006D3752" w:rsidP="006D3752">
      <w:pPr>
        <w:widowControl w:val="0"/>
        <w:spacing w:after="120"/>
        <w:ind w:right="40"/>
        <w:rPr>
          <w:rFonts w:eastAsia="Calibri"/>
          <w:lang w:val="en-US"/>
        </w:rPr>
      </w:pPr>
      <w:r>
        <w:rPr>
          <w:b/>
          <w:lang w:val="en-US"/>
        </w:rPr>
        <w:t xml:space="preserve">16.1 </w:t>
      </w:r>
      <w:r>
        <w:rPr>
          <w:lang w:val="en-US"/>
        </w:rPr>
        <w:t>The student completes his/her studies for the award of the Diploma of Postgraduate Studies by completing the minimum number of courses and credits required for the award of the Master's degree, as well as the successful completion of the postgraduate thesis. The HPS determines the completion of the studies in order to award the Diploma of Postgraduate Studies.</w:t>
      </w:r>
    </w:p>
    <w:p w14:paraId="1DEC558C" w14:textId="77777777" w:rsidR="006D3752" w:rsidRDefault="006D3752" w:rsidP="006D3752">
      <w:pPr>
        <w:widowControl w:val="0"/>
        <w:spacing w:after="120"/>
        <w:ind w:right="40"/>
        <w:rPr>
          <w:lang w:val="en-US"/>
        </w:rPr>
      </w:pPr>
      <w:r>
        <w:rPr>
          <w:b/>
          <w:lang w:val="en-US"/>
        </w:rPr>
        <w:t xml:space="preserve">16.2 </w:t>
      </w:r>
      <w:r>
        <w:rPr>
          <w:lang w:val="en-US"/>
        </w:rPr>
        <w:t>Upon completion of the above procedure, the postgraduate student is issued a certificate of completion of studies, loses his/her student status and ceases to participate in the collective bodies of the University's administration.</w:t>
      </w:r>
    </w:p>
    <w:p w14:paraId="0E9A92B6" w14:textId="705E91D5" w:rsidR="006D3752" w:rsidRDefault="006D3752" w:rsidP="006D3752">
      <w:pPr>
        <w:spacing w:after="120"/>
        <w:rPr>
          <w:rFonts w:cs="Calibri"/>
          <w:color w:val="0000FF"/>
          <w:lang w:val="en-US"/>
        </w:rPr>
      </w:pPr>
      <w:r>
        <w:rPr>
          <w:b/>
          <w:lang w:val="en-US"/>
        </w:rPr>
        <w:t xml:space="preserve">16.3 </w:t>
      </w:r>
      <w:r>
        <w:rPr>
          <w:rFonts w:cs="Calibri"/>
          <w:lang w:val="en-US"/>
        </w:rPr>
        <w:t>The Secretariat of the Department does not complete the stages of awarding the respective academic degree, unless it has previously received from the candidates, a certificate of deposit of the postgraduate thesis from the Library of the institution. Under the responsibility of the Central Library of the University of Thessal</w:t>
      </w:r>
      <w:r w:rsidR="00B65A55">
        <w:rPr>
          <w:rFonts w:cs="Calibri"/>
          <w:lang w:val="en-US"/>
        </w:rPr>
        <w:t>y</w:t>
      </w:r>
      <w:r>
        <w:rPr>
          <w:rFonts w:cs="Calibri"/>
          <w:lang w:val="en-US"/>
        </w:rPr>
        <w:t xml:space="preserve">, all such theses are published in the institutional repository of the University </w:t>
      </w:r>
      <w:r>
        <w:rPr>
          <w:rFonts w:cs="Calibri"/>
          <w:color w:val="0000FF"/>
          <w:lang w:val="en-US"/>
        </w:rPr>
        <w:t xml:space="preserve">http://ir.lib.uth.gr. </w:t>
      </w:r>
    </w:p>
    <w:p w14:paraId="5AFB0218" w14:textId="77777777" w:rsidR="006D3752" w:rsidRDefault="006D3752" w:rsidP="006D3752">
      <w:pPr>
        <w:widowControl w:val="0"/>
        <w:spacing w:after="120"/>
        <w:ind w:right="40"/>
        <w:rPr>
          <w:rFonts w:cs="Times New Roman"/>
          <w:lang w:val="en-US"/>
        </w:rPr>
      </w:pPr>
      <w:r>
        <w:rPr>
          <w:b/>
          <w:lang w:val="en-US"/>
        </w:rPr>
        <w:lastRenderedPageBreak/>
        <w:t xml:space="preserve">16.4 </w:t>
      </w:r>
      <w:r>
        <w:rPr>
          <w:lang w:val="en-US"/>
        </w:rPr>
        <w:t>The type of the MSc per type of MSc is common for all Departments and Faculties of the U.T.H. and is included in the Regulation for Postgraduate and Doctoral Studies of the Institution.</w:t>
      </w:r>
    </w:p>
    <w:p w14:paraId="1F795168" w14:textId="77777777" w:rsidR="006D3752" w:rsidRDefault="006D3752" w:rsidP="006D3752">
      <w:pPr>
        <w:widowControl w:val="0"/>
        <w:spacing w:after="120"/>
        <w:ind w:right="40"/>
        <w:rPr>
          <w:b/>
          <w:color w:val="2E74B5"/>
          <w:sz w:val="26"/>
          <w:szCs w:val="26"/>
          <w:lang w:val="en-US"/>
        </w:rPr>
      </w:pPr>
    </w:p>
    <w:p w14:paraId="0C34C984" w14:textId="77777777" w:rsidR="006D3752" w:rsidRPr="00257782" w:rsidRDefault="006D3752" w:rsidP="006D3752">
      <w:pPr>
        <w:pStyle w:val="2"/>
        <w:spacing w:before="0" w:after="120" w:line="254" w:lineRule="auto"/>
        <w:rPr>
          <w:rStyle w:val="normalchar1"/>
          <w:rFonts w:ascii="Calibri" w:hAnsi="Calibri"/>
          <w:sz w:val="26"/>
          <w:lang w:val="en-US"/>
        </w:rPr>
      </w:pPr>
      <w:bookmarkStart w:id="37" w:name="_Toc197974946"/>
      <w:bookmarkStart w:id="38" w:name="_Toc197974987"/>
      <w:r w:rsidRPr="00257782">
        <w:rPr>
          <w:rStyle w:val="normalchar1"/>
          <w:sz w:val="26"/>
          <w:lang w:val="en-US"/>
        </w:rPr>
        <w:t>ARTICLE 17. ORIGINAL</w:t>
      </w:r>
      <w:bookmarkEnd w:id="37"/>
      <w:bookmarkEnd w:id="38"/>
    </w:p>
    <w:p w14:paraId="60239269" w14:textId="77777777" w:rsidR="006D3752" w:rsidRPr="00257782" w:rsidRDefault="006D3752" w:rsidP="006D3752">
      <w:pPr>
        <w:spacing w:after="120"/>
        <w:ind w:right="282"/>
        <w:rPr>
          <w:rFonts w:eastAsia="Calibri"/>
          <w:lang w:val="en-US"/>
        </w:rPr>
      </w:pPr>
      <w:r>
        <w:rPr>
          <w:lang w:val="en-US"/>
        </w:rPr>
        <w:t xml:space="preserve"> The oath is not a constituent type of successful completion of studies, but it is a necessary condition for the award of the written title of the diploma. The swearing-in ceremony is organized by the relevant Dean's Office to which the MSc belongs, in the presence of the Dean of the Faculty, the President of the Department and the Director of the MSc.</w:t>
      </w:r>
    </w:p>
    <w:p w14:paraId="4FB4AE98" w14:textId="77777777" w:rsidR="006D3752" w:rsidRDefault="006D3752" w:rsidP="006D3752">
      <w:pPr>
        <w:spacing w:after="120"/>
        <w:ind w:right="282"/>
        <w:rPr>
          <w:lang w:val="en-US"/>
        </w:rPr>
      </w:pPr>
      <w:r>
        <w:rPr>
          <w:lang w:val="en-US"/>
        </w:rPr>
        <w:t>In exceptional cases (studies, residence or work abroad, health reasons, etc.), postgraduate students who have successfully completed the Master's programme may apply to the Department's Secretariat for an exemption from the obligation to take the oath of office (exemption from the oath of office). The exemption from the obligation to be certified is approved by the HPS.</w:t>
      </w:r>
    </w:p>
    <w:p w14:paraId="619ADF00" w14:textId="77777777" w:rsidR="006D3752" w:rsidRDefault="006D3752" w:rsidP="006D3752">
      <w:pPr>
        <w:spacing w:after="120"/>
        <w:ind w:right="282"/>
        <w:rPr>
          <w:lang w:val="en-US"/>
        </w:rPr>
      </w:pPr>
    </w:p>
    <w:p w14:paraId="0D69DE6A" w14:textId="4E6C0B12" w:rsidR="006D3752" w:rsidRPr="00257782" w:rsidRDefault="006D3752" w:rsidP="006D3752">
      <w:pPr>
        <w:pStyle w:val="2"/>
        <w:spacing w:before="0" w:after="120" w:line="254" w:lineRule="auto"/>
        <w:rPr>
          <w:rStyle w:val="normalchar1"/>
          <w:rFonts w:ascii="Calibri" w:hAnsi="Calibri"/>
          <w:sz w:val="26"/>
          <w:lang w:val="en-US"/>
        </w:rPr>
      </w:pPr>
      <w:bookmarkStart w:id="39" w:name="_Toc197974947"/>
      <w:bookmarkStart w:id="40" w:name="_Toc197974988"/>
      <w:r w:rsidRPr="00257782">
        <w:rPr>
          <w:rStyle w:val="normalchar1"/>
          <w:sz w:val="26"/>
          <w:lang w:val="en-US"/>
        </w:rPr>
        <w:t>A</w:t>
      </w:r>
      <w:r w:rsidR="009B26FB">
        <w:rPr>
          <w:rStyle w:val="normalchar1"/>
          <w:sz w:val="26"/>
          <w:lang w:val="en-US"/>
        </w:rPr>
        <w:t>RTICLE 18. EVALUATION OF THE P</w:t>
      </w:r>
      <w:r w:rsidR="00E73706">
        <w:rPr>
          <w:rStyle w:val="normalchar1"/>
          <w:sz w:val="26"/>
          <w:lang w:val="en-US"/>
        </w:rPr>
        <w:t>S</w:t>
      </w:r>
      <w:r w:rsidR="009B26FB">
        <w:rPr>
          <w:rStyle w:val="normalchar1"/>
          <w:sz w:val="26"/>
          <w:lang w:val="en-US"/>
        </w:rPr>
        <w:t>P</w:t>
      </w:r>
      <w:bookmarkEnd w:id="39"/>
      <w:bookmarkEnd w:id="40"/>
    </w:p>
    <w:p w14:paraId="31865310" w14:textId="77777777" w:rsidR="006D3752" w:rsidRPr="00257782" w:rsidRDefault="006D3752" w:rsidP="006D3752">
      <w:pPr>
        <w:spacing w:after="120"/>
        <w:ind w:right="282"/>
        <w:rPr>
          <w:rFonts w:eastAsia="Calibri"/>
          <w:lang w:val="en-US"/>
        </w:rPr>
      </w:pPr>
      <w:r>
        <w:rPr>
          <w:b/>
          <w:lang w:val="en-US"/>
        </w:rPr>
        <w:t xml:space="preserve">18.1 </w:t>
      </w:r>
      <w:r>
        <w:rPr>
          <w:lang w:val="en-US"/>
        </w:rPr>
        <w:t>Evaluation by the National Authority for Higher Education.</w:t>
      </w:r>
    </w:p>
    <w:p w14:paraId="092D5C64" w14:textId="77777777" w:rsidR="006D3752" w:rsidRDefault="006D3752" w:rsidP="006D3752">
      <w:pPr>
        <w:spacing w:after="120"/>
        <w:ind w:right="282"/>
        <w:rPr>
          <w:lang w:val="en-US"/>
        </w:rPr>
      </w:pPr>
      <w:r>
        <w:rPr>
          <w:lang w:val="en-US"/>
        </w:rPr>
        <w:t>The MSc is evaluated in the framework of the periodic evaluation/certification of the Department by the National Authority for Higher Education. In this context, the overall assessment of the work carried out by each MSc, the degree of fulfilment of the objectives set at the time of its establishment, its sustainability, the absorption of graduates in the labour market, the degree of its contribution to research, the internal evaluation by postgraduate students, the feasibility of extending its operation, as well as other elements relating to the quality of the work produced and its contribution to the national strategy for higher education are evaluated. If, at the stage of evaluation, the programme is deemed not to meet the conditions for its continued operation, it shall be terminated upon graduation of the students already enrolled in accordance with the founding decision and the regulations for postgraduate and doctoral programmes.</w:t>
      </w:r>
    </w:p>
    <w:p w14:paraId="2C3E180F" w14:textId="77777777" w:rsidR="006D3752" w:rsidRDefault="006D3752" w:rsidP="006D3752">
      <w:pPr>
        <w:spacing w:after="120"/>
        <w:ind w:right="282"/>
        <w:rPr>
          <w:lang w:val="en-US"/>
        </w:rPr>
      </w:pPr>
      <w:r>
        <w:rPr>
          <w:b/>
          <w:lang w:val="en-US"/>
        </w:rPr>
        <w:t xml:space="preserve">18.2. </w:t>
      </w:r>
      <w:r>
        <w:rPr>
          <w:lang w:val="en-US"/>
        </w:rPr>
        <w:t>Internal Evaluation.</w:t>
      </w:r>
    </w:p>
    <w:p w14:paraId="652DC5F9" w14:textId="06BC1EAC" w:rsidR="006D3752" w:rsidRDefault="006D3752" w:rsidP="006D3752">
      <w:pPr>
        <w:spacing w:after="120"/>
        <w:ind w:right="282"/>
        <w:rPr>
          <w:lang w:val="en-US"/>
        </w:rPr>
      </w:pPr>
      <w:r>
        <w:rPr>
          <w:lang w:val="en-US"/>
        </w:rPr>
        <w:t xml:space="preserve">The internal evaluation of the </w:t>
      </w:r>
      <w:r w:rsidR="00542CB3">
        <w:rPr>
          <w:lang w:val="en-US"/>
        </w:rPr>
        <w:t>PSP</w:t>
      </w:r>
      <w:r>
        <w:rPr>
          <w:lang w:val="en-US"/>
        </w:rPr>
        <w:t xml:space="preserve"> is carried out on an annual basis by the Quality Assurance Unit (QAQU) of the Institution. In accordance with the Internal Quality Assurance System of the Institution, in order to optimize the teaching work and the curriculum, in all P.M.S. at the end of each semester, each course and each lecturer is evaluated by the postgraduate students, in accordance with what is specifically defined in the Regulation of Postgraduate Studies of the P.M.S.</w:t>
      </w:r>
    </w:p>
    <w:p w14:paraId="2810C916" w14:textId="77777777" w:rsidR="006D3752" w:rsidRDefault="006D3752" w:rsidP="006D3752">
      <w:pPr>
        <w:spacing w:after="120"/>
        <w:ind w:right="282"/>
        <w:rPr>
          <w:lang w:val="en-US"/>
        </w:rPr>
      </w:pPr>
    </w:p>
    <w:p w14:paraId="26FF0C7D" w14:textId="78DEDAE6" w:rsidR="006D3752" w:rsidRPr="006D3752" w:rsidRDefault="006D3752" w:rsidP="006D3752">
      <w:pPr>
        <w:pStyle w:val="2"/>
        <w:spacing w:before="0" w:after="120" w:line="254" w:lineRule="auto"/>
        <w:rPr>
          <w:rStyle w:val="normalchar1"/>
          <w:rFonts w:ascii="Calibri" w:hAnsi="Calibri"/>
          <w:sz w:val="26"/>
          <w:lang w:val="en-US"/>
        </w:rPr>
      </w:pPr>
      <w:bookmarkStart w:id="41" w:name="_Toc197974948"/>
      <w:bookmarkStart w:id="42" w:name="_Toc197974989"/>
      <w:r w:rsidRPr="006D3752">
        <w:rPr>
          <w:rStyle w:val="normalchar1"/>
          <w:sz w:val="26"/>
          <w:lang w:val="en-US"/>
        </w:rPr>
        <w:t xml:space="preserve">ARTICLE 19. DURATION OF THE OPERATION OF THE </w:t>
      </w:r>
      <w:r w:rsidR="00542CB3">
        <w:rPr>
          <w:rStyle w:val="normalchar1"/>
          <w:sz w:val="26"/>
          <w:lang w:val="en-US"/>
        </w:rPr>
        <w:t>PSP</w:t>
      </w:r>
      <w:bookmarkEnd w:id="41"/>
      <w:bookmarkEnd w:id="42"/>
    </w:p>
    <w:p w14:paraId="218ED36E" w14:textId="77777777" w:rsidR="006D3752" w:rsidRPr="006D3752" w:rsidRDefault="006D3752" w:rsidP="006D3752">
      <w:pPr>
        <w:spacing w:after="120"/>
        <w:rPr>
          <w:rFonts w:eastAsia="Calibri"/>
          <w:lang w:val="en-US"/>
        </w:rPr>
      </w:pPr>
      <w:r>
        <w:rPr>
          <w:lang w:val="en-US"/>
        </w:rPr>
        <w:t xml:space="preserve">The MSc will operate until the </w:t>
      </w:r>
      <w:r>
        <w:rPr>
          <w:rFonts w:eastAsia="Batang" w:cs="Calibri"/>
          <w:bCs/>
          <w:lang w:val="en-US" w:eastAsia="ja-JP"/>
        </w:rPr>
        <w:t xml:space="preserve">Academic Year 2029 - 2030, </w:t>
      </w:r>
      <w:r>
        <w:rPr>
          <w:lang w:val="en-US"/>
        </w:rPr>
        <w:t>provided that it meets the criteria of internal and external evaluation, in accordance with the current legislation.</w:t>
      </w:r>
    </w:p>
    <w:p w14:paraId="7F51E964" w14:textId="77777777" w:rsidR="006D3752" w:rsidRDefault="006D3752" w:rsidP="006D3752">
      <w:pPr>
        <w:spacing w:after="120"/>
        <w:rPr>
          <w:lang w:val="en-US"/>
        </w:rPr>
      </w:pPr>
    </w:p>
    <w:p w14:paraId="047397A5" w14:textId="0E0ACACB" w:rsidR="006D3752" w:rsidRPr="006D3752" w:rsidRDefault="006D3752" w:rsidP="006D3752">
      <w:pPr>
        <w:pStyle w:val="2"/>
        <w:spacing w:before="0" w:after="120" w:line="254" w:lineRule="auto"/>
        <w:rPr>
          <w:rStyle w:val="normalchar1"/>
          <w:rFonts w:ascii="Calibri" w:hAnsi="Calibri"/>
          <w:sz w:val="26"/>
          <w:lang w:val="en-US"/>
        </w:rPr>
      </w:pPr>
      <w:bookmarkStart w:id="43" w:name="_Toc197974949"/>
      <w:bookmarkStart w:id="44" w:name="_Toc197974990"/>
      <w:r w:rsidRPr="006D3752">
        <w:rPr>
          <w:rStyle w:val="normalchar1"/>
          <w:sz w:val="26"/>
          <w:lang w:val="en-US"/>
        </w:rPr>
        <w:t xml:space="preserve">ARTICLE 20. WEBSITE OF THE </w:t>
      </w:r>
      <w:r w:rsidR="00542CB3">
        <w:rPr>
          <w:rStyle w:val="normalchar1"/>
          <w:sz w:val="26"/>
          <w:lang w:val="en-US"/>
        </w:rPr>
        <w:t>PSP</w:t>
      </w:r>
      <w:bookmarkEnd w:id="43"/>
      <w:bookmarkEnd w:id="44"/>
      <w:r w:rsidRPr="006D3752">
        <w:rPr>
          <w:rStyle w:val="normalchar1"/>
          <w:sz w:val="26"/>
          <w:lang w:val="en-US"/>
        </w:rPr>
        <w:t xml:space="preserve"> </w:t>
      </w:r>
    </w:p>
    <w:p w14:paraId="618D4139" w14:textId="402D7D5E" w:rsidR="006D3752" w:rsidRPr="006D3752" w:rsidRDefault="006D3752" w:rsidP="006D3752">
      <w:pPr>
        <w:spacing w:after="120"/>
        <w:rPr>
          <w:rFonts w:eastAsia="Calibri"/>
          <w:lang w:val="en-US"/>
        </w:rPr>
      </w:pPr>
      <w:r>
        <w:rPr>
          <w:lang w:val="en-US"/>
        </w:rPr>
        <w:t xml:space="preserve">The official website of the MSc </w:t>
      </w:r>
      <w:hyperlink r:id="rId12" w:history="1">
        <w:r w:rsidR="00542CB3" w:rsidRPr="00E76AF6">
          <w:rPr>
            <w:rStyle w:val="-"/>
            <w:lang w:val="en-US"/>
          </w:rPr>
          <w:t>http://dgov.uth.gr/</w:t>
        </w:r>
      </w:hyperlink>
      <w:r>
        <w:rPr>
          <w:lang w:val="en-US"/>
        </w:rPr>
        <w:t xml:space="preserve"> is constantly updated and contains all the information and announcements of the Programme and is the official information site for students. </w:t>
      </w:r>
    </w:p>
    <w:p w14:paraId="030C0EF6" w14:textId="77777777" w:rsidR="006D3752" w:rsidRDefault="006D3752" w:rsidP="006D3752">
      <w:pPr>
        <w:spacing w:after="120"/>
        <w:rPr>
          <w:color w:val="221F1F"/>
          <w:sz w:val="26"/>
          <w:szCs w:val="26"/>
          <w:lang w:val="en-US"/>
        </w:rPr>
      </w:pPr>
    </w:p>
    <w:p w14:paraId="00A6B263" w14:textId="77777777" w:rsidR="006D3752" w:rsidRDefault="006D3752" w:rsidP="006D3752">
      <w:pPr>
        <w:pStyle w:val="2"/>
        <w:spacing w:before="0" w:after="120" w:line="254" w:lineRule="auto"/>
        <w:rPr>
          <w:color w:val="2E74B5"/>
          <w:sz w:val="26"/>
          <w:lang w:val="en-US"/>
        </w:rPr>
      </w:pPr>
      <w:bookmarkStart w:id="45" w:name="_Toc197974950"/>
      <w:bookmarkStart w:id="46" w:name="_Toc197974991"/>
      <w:r w:rsidRPr="006D3752">
        <w:rPr>
          <w:rStyle w:val="normalchar1"/>
          <w:sz w:val="26"/>
          <w:lang w:val="en-US"/>
        </w:rPr>
        <w:lastRenderedPageBreak/>
        <w:t>ARTICLE 21. TRANSITIONAL ARRANGEMENTS</w:t>
      </w:r>
      <w:bookmarkEnd w:id="45"/>
      <w:bookmarkEnd w:id="46"/>
    </w:p>
    <w:p w14:paraId="16162A3B" w14:textId="1D6C3056" w:rsidR="006D3752" w:rsidRDefault="006D3752" w:rsidP="006D3752">
      <w:pPr>
        <w:spacing w:after="120"/>
        <w:rPr>
          <w:rFonts w:cs="Segoe UI"/>
          <w:bCs/>
          <w:color w:val="000000"/>
          <w:lang w:val="en-US" w:eastAsia="ja-JP"/>
        </w:rPr>
      </w:pPr>
      <w:r>
        <w:rPr>
          <w:rFonts w:cs="Segoe UI"/>
          <w:bCs/>
          <w:color w:val="000000"/>
          <w:lang w:val="en-US" w:eastAsia="ja-JP"/>
        </w:rPr>
        <w:t xml:space="preserve">For those issues that are not defined in the applicable legislation, in the Regulations for Postgraduate and Doctoral Studies of the </w:t>
      </w:r>
      <w:r w:rsidRPr="00542CB3">
        <w:rPr>
          <w:rFonts w:cs="Segoe UI"/>
          <w:bCs/>
          <w:color w:val="000000"/>
          <w:lang w:val="en-US" w:eastAsia="ja-JP"/>
        </w:rPr>
        <w:t>University</w:t>
      </w:r>
      <w:r>
        <w:rPr>
          <w:rFonts w:cs="Segoe UI"/>
          <w:bCs/>
          <w:color w:val="000000"/>
          <w:lang w:val="en-US" w:eastAsia="ja-JP"/>
        </w:rPr>
        <w:t xml:space="preserve"> of Thessaly or in the present Regulations, the bodies of the </w:t>
      </w:r>
      <w:r w:rsidR="00542CB3">
        <w:rPr>
          <w:rFonts w:cs="Segoe UI"/>
          <w:bCs/>
          <w:color w:val="000000"/>
          <w:lang w:val="en-US" w:eastAsia="ja-JP"/>
        </w:rPr>
        <w:t>PSP</w:t>
      </w:r>
    </w:p>
    <w:p w14:paraId="6B5ECEA0" w14:textId="77777777" w:rsidR="006D3752" w:rsidRDefault="006D3752" w:rsidP="006D3752">
      <w:pPr>
        <w:rPr>
          <w:rFonts w:cs="Times New Roman"/>
          <w:lang w:val="en-US" w:eastAsia="ko-KR"/>
        </w:rPr>
      </w:pPr>
    </w:p>
    <w:p w14:paraId="2F29BBDB" w14:textId="77777777" w:rsidR="006D3752" w:rsidRDefault="006D3752" w:rsidP="006D3752">
      <w:pPr>
        <w:rPr>
          <w:lang w:val="en-US" w:eastAsia="ko-KR"/>
        </w:rPr>
      </w:pPr>
    </w:p>
    <w:p w14:paraId="41D103D5" w14:textId="77777777" w:rsidR="00354F2C" w:rsidRPr="006D3752" w:rsidRDefault="00354F2C" w:rsidP="00B811FD">
      <w:pPr>
        <w:spacing w:after="120"/>
        <w:rPr>
          <w:rFonts w:cs="Segoe UI"/>
          <w:bCs/>
          <w:color w:val="000000" w:themeColor="text1"/>
          <w:lang w:val="en-US" w:eastAsia="ja-JP"/>
        </w:rPr>
      </w:pPr>
    </w:p>
    <w:p w14:paraId="1F4F0672" w14:textId="3961B363" w:rsidR="001E49F0" w:rsidRPr="006D3752" w:rsidRDefault="001E49F0" w:rsidP="001E49F0">
      <w:pPr>
        <w:rPr>
          <w:lang w:val="en-US" w:eastAsia="ko-KR"/>
        </w:rPr>
      </w:pPr>
    </w:p>
    <w:sectPr w:rsidR="001E49F0" w:rsidRPr="006D3752" w:rsidSect="0077540A">
      <w:footerReference w:type="default" r:id="rId13"/>
      <w:pgSz w:w="11906" w:h="16838"/>
      <w:pgMar w:top="990" w:right="1274" w:bottom="135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00F5" w14:textId="77777777" w:rsidR="00304F0A" w:rsidRDefault="00304F0A" w:rsidP="00632E44">
      <w:pPr>
        <w:spacing w:after="0" w:line="240" w:lineRule="auto"/>
      </w:pPr>
      <w:r>
        <w:separator/>
      </w:r>
    </w:p>
  </w:endnote>
  <w:endnote w:type="continuationSeparator" w:id="0">
    <w:p w14:paraId="0ED76F6C" w14:textId="77777777" w:rsidR="00304F0A" w:rsidRDefault="00304F0A" w:rsidP="0063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B534" w14:textId="7AB649E0" w:rsidR="00F23B20" w:rsidRPr="00F62C8F" w:rsidRDefault="00F23B20" w:rsidP="006908BE">
    <w:pPr>
      <w:pStyle w:val="a9"/>
      <w:pBdr>
        <w:top w:val="single" w:sz="4" w:space="1" w:color="auto"/>
      </w:pBdr>
      <w:jc w:val="center"/>
      <w:rPr>
        <w:rFonts w:asciiTheme="minorHAnsi" w:hAnsiTheme="minorHAnsi" w:cstheme="minorHAnsi"/>
        <w:color w:val="002060"/>
        <w:sz w:val="22"/>
        <w:szCs w:val="22"/>
      </w:rPr>
    </w:pPr>
    <w:r w:rsidRPr="00F62C8F">
      <w:rPr>
        <w:rFonts w:asciiTheme="minorHAnsi" w:eastAsiaTheme="minorEastAsia" w:hAnsiTheme="minorHAnsi" w:cstheme="minorHAnsi"/>
        <w:color w:val="002060"/>
        <w:sz w:val="22"/>
        <w:szCs w:val="22"/>
      </w:rPr>
      <w:fldChar w:fldCharType="begin"/>
    </w:r>
    <w:r w:rsidRPr="00F62C8F">
      <w:rPr>
        <w:rFonts w:asciiTheme="minorHAnsi" w:hAnsiTheme="minorHAnsi" w:cstheme="minorHAnsi"/>
        <w:color w:val="002060"/>
        <w:sz w:val="22"/>
        <w:szCs w:val="22"/>
      </w:rPr>
      <w:instrText xml:space="preserve"> PAGE   \* MERGEFORMAT </w:instrText>
    </w:r>
    <w:r w:rsidRPr="00F62C8F">
      <w:rPr>
        <w:rFonts w:asciiTheme="minorHAnsi" w:eastAsiaTheme="minorEastAsia" w:hAnsiTheme="minorHAnsi" w:cstheme="minorHAnsi"/>
        <w:color w:val="002060"/>
        <w:sz w:val="22"/>
        <w:szCs w:val="22"/>
      </w:rPr>
      <w:fldChar w:fldCharType="separate"/>
    </w:r>
    <w:r w:rsidR="00266358" w:rsidRPr="00266358">
      <w:rPr>
        <w:rFonts w:asciiTheme="minorHAnsi" w:eastAsiaTheme="majorEastAsia" w:hAnsiTheme="minorHAnsi" w:cstheme="minorHAnsi"/>
        <w:noProof/>
        <w:color w:val="002060"/>
        <w:sz w:val="22"/>
        <w:szCs w:val="22"/>
      </w:rPr>
      <w:t>20</w:t>
    </w:r>
    <w:r w:rsidRPr="00F62C8F">
      <w:rPr>
        <w:rFonts w:asciiTheme="minorHAnsi" w:eastAsiaTheme="majorEastAsia" w:hAnsiTheme="minorHAnsi" w:cstheme="minorHAnsi"/>
        <w:noProof/>
        <w:color w:val="002060"/>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49D3" w14:textId="77777777" w:rsidR="00304F0A" w:rsidRDefault="00304F0A" w:rsidP="00632E44">
      <w:pPr>
        <w:spacing w:after="0" w:line="240" w:lineRule="auto"/>
      </w:pPr>
      <w:r>
        <w:separator/>
      </w:r>
    </w:p>
  </w:footnote>
  <w:footnote w:type="continuationSeparator" w:id="0">
    <w:p w14:paraId="79CF2464" w14:textId="77777777" w:rsidR="00304F0A" w:rsidRDefault="00304F0A" w:rsidP="00632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E53"/>
    <w:multiLevelType w:val="hybridMultilevel"/>
    <w:tmpl w:val="CD9A1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969BC"/>
    <w:multiLevelType w:val="hybridMultilevel"/>
    <w:tmpl w:val="52A4D8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6C1F7F"/>
    <w:multiLevelType w:val="multilevel"/>
    <w:tmpl w:val="07C21508"/>
    <w:lvl w:ilvl="0">
      <w:start w:val="1"/>
      <w:numFmt w:val="decimal"/>
      <w:lvlText w:val="%1."/>
      <w:lvlJc w:val="left"/>
      <w:pPr>
        <w:ind w:left="420" w:hanging="420"/>
      </w:pPr>
      <w:rPr>
        <w:rFonts w:hint="default"/>
        <w:b/>
        <w:color w:val="0070C0"/>
      </w:rPr>
    </w:lvl>
    <w:lvl w:ilvl="1">
      <w:start w:val="2"/>
      <w:numFmt w:val="decimal"/>
      <w:lvlText w:val="%1.%2."/>
      <w:lvlJc w:val="left"/>
      <w:pPr>
        <w:ind w:left="562" w:hanging="420"/>
      </w:pPr>
      <w:rPr>
        <w:rFonts w:hint="default"/>
        <w:b/>
        <w:color w:val="auto"/>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3" w15:restartNumberingAfterBreak="0">
    <w:nsid w:val="06BA4747"/>
    <w:multiLevelType w:val="hybridMultilevel"/>
    <w:tmpl w:val="706EB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636914"/>
    <w:multiLevelType w:val="hybridMultilevel"/>
    <w:tmpl w:val="EBCE0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C815672"/>
    <w:multiLevelType w:val="hybridMultilevel"/>
    <w:tmpl w:val="238E63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4E7D33"/>
    <w:multiLevelType w:val="hybridMultilevel"/>
    <w:tmpl w:val="9D881996"/>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A25C6C"/>
    <w:multiLevelType w:val="hybridMultilevel"/>
    <w:tmpl w:val="D2DCD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524EBB"/>
    <w:multiLevelType w:val="hybridMultilevel"/>
    <w:tmpl w:val="656EB47A"/>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9" w15:restartNumberingAfterBreak="0">
    <w:nsid w:val="2AC864C3"/>
    <w:multiLevelType w:val="hybridMultilevel"/>
    <w:tmpl w:val="F61897A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352E66D7"/>
    <w:multiLevelType w:val="hybridMultilevel"/>
    <w:tmpl w:val="1752F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5D55EDB"/>
    <w:multiLevelType w:val="hybridMultilevel"/>
    <w:tmpl w:val="81B21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C624012"/>
    <w:multiLevelType w:val="hybridMultilevel"/>
    <w:tmpl w:val="6332F916"/>
    <w:lvl w:ilvl="0" w:tplc="07BE87A4">
      <w:numFmt w:val="bullet"/>
      <w:lvlText w:val="•"/>
      <w:lvlJc w:val="left"/>
      <w:pPr>
        <w:ind w:left="990" w:hanging="732"/>
      </w:pPr>
      <w:rPr>
        <w:rFonts w:ascii="Calibri" w:eastAsia="Calibri" w:hAnsi="Calibri" w:cs="Calibri" w:hint="default"/>
      </w:rPr>
    </w:lvl>
    <w:lvl w:ilvl="1" w:tplc="04080003" w:tentative="1">
      <w:start w:val="1"/>
      <w:numFmt w:val="bullet"/>
      <w:lvlText w:val="o"/>
      <w:lvlJc w:val="left"/>
      <w:pPr>
        <w:ind w:left="1713" w:hanging="360"/>
      </w:pPr>
      <w:rPr>
        <w:rFonts w:ascii="Courier New" w:hAnsi="Courier New" w:cs="Courier New" w:hint="default"/>
      </w:rPr>
    </w:lvl>
    <w:lvl w:ilvl="2" w:tplc="04080005" w:tentative="1">
      <w:start w:val="1"/>
      <w:numFmt w:val="bullet"/>
      <w:lvlText w:val=""/>
      <w:lvlJc w:val="left"/>
      <w:pPr>
        <w:ind w:left="2433" w:hanging="360"/>
      </w:pPr>
      <w:rPr>
        <w:rFonts w:ascii="Wingdings" w:hAnsi="Wingdings" w:hint="default"/>
      </w:rPr>
    </w:lvl>
    <w:lvl w:ilvl="3" w:tplc="04080001" w:tentative="1">
      <w:start w:val="1"/>
      <w:numFmt w:val="bullet"/>
      <w:lvlText w:val=""/>
      <w:lvlJc w:val="left"/>
      <w:pPr>
        <w:ind w:left="3153" w:hanging="360"/>
      </w:pPr>
      <w:rPr>
        <w:rFonts w:ascii="Symbol" w:hAnsi="Symbol" w:hint="default"/>
      </w:rPr>
    </w:lvl>
    <w:lvl w:ilvl="4" w:tplc="04080003" w:tentative="1">
      <w:start w:val="1"/>
      <w:numFmt w:val="bullet"/>
      <w:lvlText w:val="o"/>
      <w:lvlJc w:val="left"/>
      <w:pPr>
        <w:ind w:left="3873" w:hanging="360"/>
      </w:pPr>
      <w:rPr>
        <w:rFonts w:ascii="Courier New" w:hAnsi="Courier New" w:cs="Courier New" w:hint="default"/>
      </w:rPr>
    </w:lvl>
    <w:lvl w:ilvl="5" w:tplc="04080005" w:tentative="1">
      <w:start w:val="1"/>
      <w:numFmt w:val="bullet"/>
      <w:lvlText w:val=""/>
      <w:lvlJc w:val="left"/>
      <w:pPr>
        <w:ind w:left="4593" w:hanging="360"/>
      </w:pPr>
      <w:rPr>
        <w:rFonts w:ascii="Wingdings" w:hAnsi="Wingdings" w:hint="default"/>
      </w:rPr>
    </w:lvl>
    <w:lvl w:ilvl="6" w:tplc="04080001" w:tentative="1">
      <w:start w:val="1"/>
      <w:numFmt w:val="bullet"/>
      <w:lvlText w:val=""/>
      <w:lvlJc w:val="left"/>
      <w:pPr>
        <w:ind w:left="5313" w:hanging="360"/>
      </w:pPr>
      <w:rPr>
        <w:rFonts w:ascii="Symbol" w:hAnsi="Symbol" w:hint="default"/>
      </w:rPr>
    </w:lvl>
    <w:lvl w:ilvl="7" w:tplc="04080003" w:tentative="1">
      <w:start w:val="1"/>
      <w:numFmt w:val="bullet"/>
      <w:lvlText w:val="o"/>
      <w:lvlJc w:val="left"/>
      <w:pPr>
        <w:ind w:left="6033" w:hanging="360"/>
      </w:pPr>
      <w:rPr>
        <w:rFonts w:ascii="Courier New" w:hAnsi="Courier New" w:cs="Courier New" w:hint="default"/>
      </w:rPr>
    </w:lvl>
    <w:lvl w:ilvl="8" w:tplc="04080005" w:tentative="1">
      <w:start w:val="1"/>
      <w:numFmt w:val="bullet"/>
      <w:lvlText w:val=""/>
      <w:lvlJc w:val="left"/>
      <w:pPr>
        <w:ind w:left="6753" w:hanging="360"/>
      </w:pPr>
      <w:rPr>
        <w:rFonts w:ascii="Wingdings" w:hAnsi="Wingdings" w:hint="default"/>
      </w:rPr>
    </w:lvl>
  </w:abstractNum>
  <w:abstractNum w:abstractNumId="13" w15:restartNumberingAfterBreak="0">
    <w:nsid w:val="47CB6A0D"/>
    <w:multiLevelType w:val="multilevel"/>
    <w:tmpl w:val="6442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5A1D12"/>
    <w:multiLevelType w:val="hybridMultilevel"/>
    <w:tmpl w:val="DA86C28C"/>
    <w:lvl w:ilvl="0" w:tplc="07BE87A4">
      <w:numFmt w:val="bullet"/>
      <w:lvlText w:val="•"/>
      <w:lvlJc w:val="left"/>
      <w:pPr>
        <w:ind w:left="990" w:hanging="732"/>
      </w:pPr>
      <w:rPr>
        <w:rFonts w:ascii="Calibri" w:eastAsia="Calibri" w:hAnsi="Calibri" w:cs="Calibri" w:hint="default"/>
      </w:rPr>
    </w:lvl>
    <w:lvl w:ilvl="1" w:tplc="04080003" w:tentative="1">
      <w:start w:val="1"/>
      <w:numFmt w:val="bullet"/>
      <w:lvlText w:val="o"/>
      <w:lvlJc w:val="left"/>
      <w:pPr>
        <w:ind w:left="1713" w:hanging="360"/>
      </w:pPr>
      <w:rPr>
        <w:rFonts w:ascii="Courier New" w:hAnsi="Courier New" w:cs="Courier New" w:hint="default"/>
      </w:rPr>
    </w:lvl>
    <w:lvl w:ilvl="2" w:tplc="04080005" w:tentative="1">
      <w:start w:val="1"/>
      <w:numFmt w:val="bullet"/>
      <w:lvlText w:val=""/>
      <w:lvlJc w:val="left"/>
      <w:pPr>
        <w:ind w:left="2433" w:hanging="360"/>
      </w:pPr>
      <w:rPr>
        <w:rFonts w:ascii="Wingdings" w:hAnsi="Wingdings" w:hint="default"/>
      </w:rPr>
    </w:lvl>
    <w:lvl w:ilvl="3" w:tplc="04080001" w:tentative="1">
      <w:start w:val="1"/>
      <w:numFmt w:val="bullet"/>
      <w:lvlText w:val=""/>
      <w:lvlJc w:val="left"/>
      <w:pPr>
        <w:ind w:left="3153" w:hanging="360"/>
      </w:pPr>
      <w:rPr>
        <w:rFonts w:ascii="Symbol" w:hAnsi="Symbol" w:hint="default"/>
      </w:rPr>
    </w:lvl>
    <w:lvl w:ilvl="4" w:tplc="04080003" w:tentative="1">
      <w:start w:val="1"/>
      <w:numFmt w:val="bullet"/>
      <w:lvlText w:val="o"/>
      <w:lvlJc w:val="left"/>
      <w:pPr>
        <w:ind w:left="3873" w:hanging="360"/>
      </w:pPr>
      <w:rPr>
        <w:rFonts w:ascii="Courier New" w:hAnsi="Courier New" w:cs="Courier New" w:hint="default"/>
      </w:rPr>
    </w:lvl>
    <w:lvl w:ilvl="5" w:tplc="04080005" w:tentative="1">
      <w:start w:val="1"/>
      <w:numFmt w:val="bullet"/>
      <w:lvlText w:val=""/>
      <w:lvlJc w:val="left"/>
      <w:pPr>
        <w:ind w:left="4593" w:hanging="360"/>
      </w:pPr>
      <w:rPr>
        <w:rFonts w:ascii="Wingdings" w:hAnsi="Wingdings" w:hint="default"/>
      </w:rPr>
    </w:lvl>
    <w:lvl w:ilvl="6" w:tplc="04080001" w:tentative="1">
      <w:start w:val="1"/>
      <w:numFmt w:val="bullet"/>
      <w:lvlText w:val=""/>
      <w:lvlJc w:val="left"/>
      <w:pPr>
        <w:ind w:left="5313" w:hanging="360"/>
      </w:pPr>
      <w:rPr>
        <w:rFonts w:ascii="Symbol" w:hAnsi="Symbol" w:hint="default"/>
      </w:rPr>
    </w:lvl>
    <w:lvl w:ilvl="7" w:tplc="04080003" w:tentative="1">
      <w:start w:val="1"/>
      <w:numFmt w:val="bullet"/>
      <w:lvlText w:val="o"/>
      <w:lvlJc w:val="left"/>
      <w:pPr>
        <w:ind w:left="6033" w:hanging="360"/>
      </w:pPr>
      <w:rPr>
        <w:rFonts w:ascii="Courier New" w:hAnsi="Courier New" w:cs="Courier New" w:hint="default"/>
      </w:rPr>
    </w:lvl>
    <w:lvl w:ilvl="8" w:tplc="04080005" w:tentative="1">
      <w:start w:val="1"/>
      <w:numFmt w:val="bullet"/>
      <w:lvlText w:val=""/>
      <w:lvlJc w:val="left"/>
      <w:pPr>
        <w:ind w:left="6753" w:hanging="360"/>
      </w:pPr>
      <w:rPr>
        <w:rFonts w:ascii="Wingdings" w:hAnsi="Wingdings" w:hint="default"/>
      </w:rPr>
    </w:lvl>
  </w:abstractNum>
  <w:abstractNum w:abstractNumId="15" w15:restartNumberingAfterBreak="0">
    <w:nsid w:val="4F6475FF"/>
    <w:multiLevelType w:val="hybridMultilevel"/>
    <w:tmpl w:val="30F21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1EA54D1"/>
    <w:multiLevelType w:val="hybridMultilevel"/>
    <w:tmpl w:val="3466A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1ED471A"/>
    <w:multiLevelType w:val="hybridMultilevel"/>
    <w:tmpl w:val="F6D01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58B7C6E"/>
    <w:multiLevelType w:val="multilevel"/>
    <w:tmpl w:val="AA506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A8399A"/>
    <w:multiLevelType w:val="multilevel"/>
    <w:tmpl w:val="020E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421D15"/>
    <w:multiLevelType w:val="hybridMultilevel"/>
    <w:tmpl w:val="EC7E6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4EC5355"/>
    <w:multiLevelType w:val="multilevel"/>
    <w:tmpl w:val="4844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64390C"/>
    <w:multiLevelType w:val="hybridMultilevel"/>
    <w:tmpl w:val="714AA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9021D8C"/>
    <w:multiLevelType w:val="hybridMultilevel"/>
    <w:tmpl w:val="7CA8A676"/>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24" w15:restartNumberingAfterBreak="0">
    <w:nsid w:val="7A7E156E"/>
    <w:multiLevelType w:val="hybridMultilevel"/>
    <w:tmpl w:val="90687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F0F420F"/>
    <w:multiLevelType w:val="hybridMultilevel"/>
    <w:tmpl w:val="DDBE4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4"/>
  </w:num>
  <w:num w:numId="5">
    <w:abstractNumId w:val="12"/>
  </w:num>
  <w:num w:numId="6">
    <w:abstractNumId w:val="0"/>
  </w:num>
  <w:num w:numId="7">
    <w:abstractNumId w:val="19"/>
  </w:num>
  <w:num w:numId="8">
    <w:abstractNumId w:val="13"/>
  </w:num>
  <w:num w:numId="9">
    <w:abstractNumId w:val="1"/>
  </w:num>
  <w:num w:numId="10">
    <w:abstractNumId w:val="8"/>
  </w:num>
  <w:num w:numId="11">
    <w:abstractNumId w:val="10"/>
  </w:num>
  <w:num w:numId="12">
    <w:abstractNumId w:val="16"/>
  </w:num>
  <w:num w:numId="13">
    <w:abstractNumId w:val="22"/>
  </w:num>
  <w:num w:numId="14">
    <w:abstractNumId w:val="11"/>
  </w:num>
  <w:num w:numId="15">
    <w:abstractNumId w:val="15"/>
  </w:num>
  <w:num w:numId="16">
    <w:abstractNumId w:val="2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4"/>
  </w:num>
  <w:num w:numId="25">
    <w:abstractNumId w:val="3"/>
  </w:num>
  <w:num w:numId="26">
    <w:abstractNumId w:val="24"/>
  </w:num>
  <w:num w:numId="27">
    <w:abstractNumId w:val="5"/>
  </w:num>
  <w:num w:numId="28">
    <w:abstractNumId w:val="17"/>
  </w:num>
  <w:num w:numId="29">
    <w:abstractNumId w:val="25"/>
  </w:num>
  <w:num w:numId="30">
    <w:abstractNumId w:val="7"/>
  </w:num>
  <w:num w:numId="31">
    <w:abstractNumId w:val="0"/>
  </w:num>
  <w:num w:numId="32">
    <w:abstractNumId w:val="1"/>
  </w:num>
  <w:num w:numId="33">
    <w:abstractNumId w:val="9"/>
  </w:num>
  <w:num w:numId="34">
    <w:abstractNumId w:val="18"/>
  </w:num>
  <w:num w:numId="35">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8A"/>
    <w:rsid w:val="00007657"/>
    <w:rsid w:val="000109AF"/>
    <w:rsid w:val="000130C8"/>
    <w:rsid w:val="000158C6"/>
    <w:rsid w:val="00023220"/>
    <w:rsid w:val="00024021"/>
    <w:rsid w:val="0002485B"/>
    <w:rsid w:val="00024874"/>
    <w:rsid w:val="00026823"/>
    <w:rsid w:val="00034D54"/>
    <w:rsid w:val="0003622A"/>
    <w:rsid w:val="0003664E"/>
    <w:rsid w:val="00036868"/>
    <w:rsid w:val="0003793A"/>
    <w:rsid w:val="000424A7"/>
    <w:rsid w:val="000425CC"/>
    <w:rsid w:val="00043386"/>
    <w:rsid w:val="00045139"/>
    <w:rsid w:val="00050E4A"/>
    <w:rsid w:val="000514D0"/>
    <w:rsid w:val="00051EED"/>
    <w:rsid w:val="0005264E"/>
    <w:rsid w:val="00052C08"/>
    <w:rsid w:val="00057467"/>
    <w:rsid w:val="00057DFF"/>
    <w:rsid w:val="00057F04"/>
    <w:rsid w:val="00060510"/>
    <w:rsid w:val="00060EA5"/>
    <w:rsid w:val="00061E7B"/>
    <w:rsid w:val="000639FA"/>
    <w:rsid w:val="00063D4A"/>
    <w:rsid w:val="000646D0"/>
    <w:rsid w:val="00067FD0"/>
    <w:rsid w:val="0007098B"/>
    <w:rsid w:val="000715B2"/>
    <w:rsid w:val="000717DB"/>
    <w:rsid w:val="0007460C"/>
    <w:rsid w:val="00075301"/>
    <w:rsid w:val="000754A1"/>
    <w:rsid w:val="00076ADA"/>
    <w:rsid w:val="000775DD"/>
    <w:rsid w:val="00081FDB"/>
    <w:rsid w:val="00082188"/>
    <w:rsid w:val="000829B0"/>
    <w:rsid w:val="00083998"/>
    <w:rsid w:val="00086019"/>
    <w:rsid w:val="000875DC"/>
    <w:rsid w:val="00090A61"/>
    <w:rsid w:val="000923CE"/>
    <w:rsid w:val="00093B41"/>
    <w:rsid w:val="0009649E"/>
    <w:rsid w:val="000A01F4"/>
    <w:rsid w:val="000A0469"/>
    <w:rsid w:val="000A10AC"/>
    <w:rsid w:val="000A1311"/>
    <w:rsid w:val="000A22AE"/>
    <w:rsid w:val="000A5115"/>
    <w:rsid w:val="000A6607"/>
    <w:rsid w:val="000B0611"/>
    <w:rsid w:val="000B0D06"/>
    <w:rsid w:val="000B12E5"/>
    <w:rsid w:val="000B21C9"/>
    <w:rsid w:val="000B56F9"/>
    <w:rsid w:val="000B711D"/>
    <w:rsid w:val="000C07E2"/>
    <w:rsid w:val="000C24A2"/>
    <w:rsid w:val="000C3173"/>
    <w:rsid w:val="000C4947"/>
    <w:rsid w:val="000C4CB0"/>
    <w:rsid w:val="000C67AF"/>
    <w:rsid w:val="000C72FC"/>
    <w:rsid w:val="000D0867"/>
    <w:rsid w:val="000D13F7"/>
    <w:rsid w:val="000D1D87"/>
    <w:rsid w:val="000D319A"/>
    <w:rsid w:val="000D42AC"/>
    <w:rsid w:val="000D4D4B"/>
    <w:rsid w:val="000D4EC2"/>
    <w:rsid w:val="000D7C96"/>
    <w:rsid w:val="000D7CEA"/>
    <w:rsid w:val="000E1B05"/>
    <w:rsid w:val="000E27FB"/>
    <w:rsid w:val="000E4030"/>
    <w:rsid w:val="000E4E1C"/>
    <w:rsid w:val="000E5D5A"/>
    <w:rsid w:val="000E6976"/>
    <w:rsid w:val="000F2199"/>
    <w:rsid w:val="000F3E48"/>
    <w:rsid w:val="000F4011"/>
    <w:rsid w:val="000F571C"/>
    <w:rsid w:val="000F7456"/>
    <w:rsid w:val="000F7678"/>
    <w:rsid w:val="001015D8"/>
    <w:rsid w:val="00101949"/>
    <w:rsid w:val="00102260"/>
    <w:rsid w:val="00103134"/>
    <w:rsid w:val="001039B4"/>
    <w:rsid w:val="001044A4"/>
    <w:rsid w:val="00107580"/>
    <w:rsid w:val="001101A3"/>
    <w:rsid w:val="00110E5A"/>
    <w:rsid w:val="001125EC"/>
    <w:rsid w:val="00113379"/>
    <w:rsid w:val="00114B02"/>
    <w:rsid w:val="00117A4E"/>
    <w:rsid w:val="00120172"/>
    <w:rsid w:val="001211D7"/>
    <w:rsid w:val="00122F9A"/>
    <w:rsid w:val="00123ADF"/>
    <w:rsid w:val="00123FB0"/>
    <w:rsid w:val="00124267"/>
    <w:rsid w:val="00124368"/>
    <w:rsid w:val="00124F3A"/>
    <w:rsid w:val="001278A1"/>
    <w:rsid w:val="001325B9"/>
    <w:rsid w:val="00132C7C"/>
    <w:rsid w:val="00132ED6"/>
    <w:rsid w:val="00135599"/>
    <w:rsid w:val="0013609A"/>
    <w:rsid w:val="00137601"/>
    <w:rsid w:val="00137B97"/>
    <w:rsid w:val="00137CEF"/>
    <w:rsid w:val="00140CAF"/>
    <w:rsid w:val="00142D5A"/>
    <w:rsid w:val="00144389"/>
    <w:rsid w:val="00144ECE"/>
    <w:rsid w:val="001470A4"/>
    <w:rsid w:val="0014715D"/>
    <w:rsid w:val="001476D8"/>
    <w:rsid w:val="001501FA"/>
    <w:rsid w:val="001514A2"/>
    <w:rsid w:val="0015182F"/>
    <w:rsid w:val="0015320C"/>
    <w:rsid w:val="00153BB7"/>
    <w:rsid w:val="00156245"/>
    <w:rsid w:val="0015665D"/>
    <w:rsid w:val="00156F7E"/>
    <w:rsid w:val="0015766D"/>
    <w:rsid w:val="00160D8B"/>
    <w:rsid w:val="00161748"/>
    <w:rsid w:val="00165F59"/>
    <w:rsid w:val="00170005"/>
    <w:rsid w:val="00170A65"/>
    <w:rsid w:val="00173233"/>
    <w:rsid w:val="00174B59"/>
    <w:rsid w:val="00177971"/>
    <w:rsid w:val="00180184"/>
    <w:rsid w:val="0018596A"/>
    <w:rsid w:val="00190D99"/>
    <w:rsid w:val="0019211A"/>
    <w:rsid w:val="00192E2C"/>
    <w:rsid w:val="001931F7"/>
    <w:rsid w:val="0019631B"/>
    <w:rsid w:val="001A2D89"/>
    <w:rsid w:val="001A4D02"/>
    <w:rsid w:val="001A6A5D"/>
    <w:rsid w:val="001B1F21"/>
    <w:rsid w:val="001B4B84"/>
    <w:rsid w:val="001B5861"/>
    <w:rsid w:val="001B6024"/>
    <w:rsid w:val="001B63DF"/>
    <w:rsid w:val="001B7802"/>
    <w:rsid w:val="001C072C"/>
    <w:rsid w:val="001C2E85"/>
    <w:rsid w:val="001C36E9"/>
    <w:rsid w:val="001C410F"/>
    <w:rsid w:val="001C4D8C"/>
    <w:rsid w:val="001C6A55"/>
    <w:rsid w:val="001C6B55"/>
    <w:rsid w:val="001C7717"/>
    <w:rsid w:val="001D20DE"/>
    <w:rsid w:val="001D39CD"/>
    <w:rsid w:val="001D5C9D"/>
    <w:rsid w:val="001D5FA0"/>
    <w:rsid w:val="001D7CD4"/>
    <w:rsid w:val="001E099B"/>
    <w:rsid w:val="001E0AEE"/>
    <w:rsid w:val="001E212F"/>
    <w:rsid w:val="001E267E"/>
    <w:rsid w:val="001E3684"/>
    <w:rsid w:val="001E423A"/>
    <w:rsid w:val="001E49DD"/>
    <w:rsid w:val="001E49F0"/>
    <w:rsid w:val="001E61D2"/>
    <w:rsid w:val="001E6F40"/>
    <w:rsid w:val="001E7BF5"/>
    <w:rsid w:val="001E7C29"/>
    <w:rsid w:val="001F2003"/>
    <w:rsid w:val="001F28C7"/>
    <w:rsid w:val="001F2A1C"/>
    <w:rsid w:val="001F4EFB"/>
    <w:rsid w:val="001F50D4"/>
    <w:rsid w:val="001F6983"/>
    <w:rsid w:val="001F7613"/>
    <w:rsid w:val="001F7851"/>
    <w:rsid w:val="001F7FDA"/>
    <w:rsid w:val="00202A37"/>
    <w:rsid w:val="0020517A"/>
    <w:rsid w:val="002064D2"/>
    <w:rsid w:val="00206B9F"/>
    <w:rsid w:val="002079CF"/>
    <w:rsid w:val="002108D1"/>
    <w:rsid w:val="0021179D"/>
    <w:rsid w:val="00211A87"/>
    <w:rsid w:val="002168EC"/>
    <w:rsid w:val="002221D0"/>
    <w:rsid w:val="002225B7"/>
    <w:rsid w:val="00225E29"/>
    <w:rsid w:val="00225F1D"/>
    <w:rsid w:val="00226078"/>
    <w:rsid w:val="002260F5"/>
    <w:rsid w:val="00227176"/>
    <w:rsid w:val="00227BCD"/>
    <w:rsid w:val="00227F5D"/>
    <w:rsid w:val="00230333"/>
    <w:rsid w:val="002307C5"/>
    <w:rsid w:val="002333CF"/>
    <w:rsid w:val="00236CE5"/>
    <w:rsid w:val="00240739"/>
    <w:rsid w:val="00240BCD"/>
    <w:rsid w:val="00241926"/>
    <w:rsid w:val="00242663"/>
    <w:rsid w:val="00247B2A"/>
    <w:rsid w:val="00250EFE"/>
    <w:rsid w:val="00251EFE"/>
    <w:rsid w:val="002527B8"/>
    <w:rsid w:val="00252DC1"/>
    <w:rsid w:val="00254818"/>
    <w:rsid w:val="00254A3B"/>
    <w:rsid w:val="002561A8"/>
    <w:rsid w:val="00257782"/>
    <w:rsid w:val="00260E4C"/>
    <w:rsid w:val="0026102E"/>
    <w:rsid w:val="00261B1D"/>
    <w:rsid w:val="0026286E"/>
    <w:rsid w:val="00262FC2"/>
    <w:rsid w:val="00263074"/>
    <w:rsid w:val="00263553"/>
    <w:rsid w:val="0026382F"/>
    <w:rsid w:val="00265F63"/>
    <w:rsid w:val="00265F66"/>
    <w:rsid w:val="00266358"/>
    <w:rsid w:val="002673A8"/>
    <w:rsid w:val="002679B1"/>
    <w:rsid w:val="002714F0"/>
    <w:rsid w:val="00271900"/>
    <w:rsid w:val="002741D5"/>
    <w:rsid w:val="00274AEA"/>
    <w:rsid w:val="00274BEF"/>
    <w:rsid w:val="00274EA0"/>
    <w:rsid w:val="00275316"/>
    <w:rsid w:val="0027720A"/>
    <w:rsid w:val="00280056"/>
    <w:rsid w:val="00282053"/>
    <w:rsid w:val="00283D16"/>
    <w:rsid w:val="002842B7"/>
    <w:rsid w:val="00287FF0"/>
    <w:rsid w:val="00291E08"/>
    <w:rsid w:val="00295077"/>
    <w:rsid w:val="0029600F"/>
    <w:rsid w:val="00296736"/>
    <w:rsid w:val="002967FE"/>
    <w:rsid w:val="00297D3D"/>
    <w:rsid w:val="002A0180"/>
    <w:rsid w:val="002A08C8"/>
    <w:rsid w:val="002A2B19"/>
    <w:rsid w:val="002A3D31"/>
    <w:rsid w:val="002A3E74"/>
    <w:rsid w:val="002A4404"/>
    <w:rsid w:val="002A5D80"/>
    <w:rsid w:val="002A6735"/>
    <w:rsid w:val="002A6835"/>
    <w:rsid w:val="002B01C4"/>
    <w:rsid w:val="002B01D8"/>
    <w:rsid w:val="002B1747"/>
    <w:rsid w:val="002B1778"/>
    <w:rsid w:val="002B6400"/>
    <w:rsid w:val="002B67D1"/>
    <w:rsid w:val="002B7656"/>
    <w:rsid w:val="002B7EFE"/>
    <w:rsid w:val="002C0F99"/>
    <w:rsid w:val="002C1B0D"/>
    <w:rsid w:val="002C36FB"/>
    <w:rsid w:val="002C65FB"/>
    <w:rsid w:val="002C66B2"/>
    <w:rsid w:val="002C6D81"/>
    <w:rsid w:val="002C7661"/>
    <w:rsid w:val="002C7E2B"/>
    <w:rsid w:val="002D1F73"/>
    <w:rsid w:val="002D481E"/>
    <w:rsid w:val="002D530E"/>
    <w:rsid w:val="002D6874"/>
    <w:rsid w:val="002D6C87"/>
    <w:rsid w:val="002E356E"/>
    <w:rsid w:val="002E5441"/>
    <w:rsid w:val="002E681E"/>
    <w:rsid w:val="002E7524"/>
    <w:rsid w:val="002F3095"/>
    <w:rsid w:val="002F3E9D"/>
    <w:rsid w:val="002F4498"/>
    <w:rsid w:val="002F4948"/>
    <w:rsid w:val="002F52A2"/>
    <w:rsid w:val="00303B9D"/>
    <w:rsid w:val="00304D33"/>
    <w:rsid w:val="00304F0A"/>
    <w:rsid w:val="00305D4A"/>
    <w:rsid w:val="003109FD"/>
    <w:rsid w:val="00310B41"/>
    <w:rsid w:val="00311E7A"/>
    <w:rsid w:val="003123BA"/>
    <w:rsid w:val="00312BCC"/>
    <w:rsid w:val="00313160"/>
    <w:rsid w:val="003135B8"/>
    <w:rsid w:val="003156A1"/>
    <w:rsid w:val="00317863"/>
    <w:rsid w:val="00320A67"/>
    <w:rsid w:val="00320E1C"/>
    <w:rsid w:val="00322DB4"/>
    <w:rsid w:val="003241DF"/>
    <w:rsid w:val="00332FD0"/>
    <w:rsid w:val="003360CE"/>
    <w:rsid w:val="003369BA"/>
    <w:rsid w:val="0034036E"/>
    <w:rsid w:val="00341B31"/>
    <w:rsid w:val="00343D60"/>
    <w:rsid w:val="00345C99"/>
    <w:rsid w:val="00350ED4"/>
    <w:rsid w:val="003516F7"/>
    <w:rsid w:val="00352712"/>
    <w:rsid w:val="003530FE"/>
    <w:rsid w:val="003536DF"/>
    <w:rsid w:val="00354342"/>
    <w:rsid w:val="0035435D"/>
    <w:rsid w:val="003545E7"/>
    <w:rsid w:val="00354F2C"/>
    <w:rsid w:val="00356FFC"/>
    <w:rsid w:val="0035706E"/>
    <w:rsid w:val="003572FA"/>
    <w:rsid w:val="00360128"/>
    <w:rsid w:val="00360211"/>
    <w:rsid w:val="00362E0F"/>
    <w:rsid w:val="00364AF8"/>
    <w:rsid w:val="00364B56"/>
    <w:rsid w:val="00365E18"/>
    <w:rsid w:val="00366324"/>
    <w:rsid w:val="00366543"/>
    <w:rsid w:val="00370859"/>
    <w:rsid w:val="00370C2E"/>
    <w:rsid w:val="00372515"/>
    <w:rsid w:val="00372B52"/>
    <w:rsid w:val="003746ED"/>
    <w:rsid w:val="00384077"/>
    <w:rsid w:val="0039080E"/>
    <w:rsid w:val="0039142E"/>
    <w:rsid w:val="00393A4E"/>
    <w:rsid w:val="00393F4F"/>
    <w:rsid w:val="00394925"/>
    <w:rsid w:val="00394E54"/>
    <w:rsid w:val="00394EF8"/>
    <w:rsid w:val="00397CC4"/>
    <w:rsid w:val="003A1901"/>
    <w:rsid w:val="003A344D"/>
    <w:rsid w:val="003A36CA"/>
    <w:rsid w:val="003A4715"/>
    <w:rsid w:val="003A4B5F"/>
    <w:rsid w:val="003A605B"/>
    <w:rsid w:val="003A6ABE"/>
    <w:rsid w:val="003A7C98"/>
    <w:rsid w:val="003B0B68"/>
    <w:rsid w:val="003B1D11"/>
    <w:rsid w:val="003B2226"/>
    <w:rsid w:val="003B4457"/>
    <w:rsid w:val="003B551C"/>
    <w:rsid w:val="003B5EAE"/>
    <w:rsid w:val="003B62A7"/>
    <w:rsid w:val="003C130D"/>
    <w:rsid w:val="003C22CC"/>
    <w:rsid w:val="003C3B23"/>
    <w:rsid w:val="003C535F"/>
    <w:rsid w:val="003C75B5"/>
    <w:rsid w:val="003C77EF"/>
    <w:rsid w:val="003D3009"/>
    <w:rsid w:val="003D387B"/>
    <w:rsid w:val="003D3B92"/>
    <w:rsid w:val="003D4D4C"/>
    <w:rsid w:val="003D4FF3"/>
    <w:rsid w:val="003D64EE"/>
    <w:rsid w:val="003D6888"/>
    <w:rsid w:val="003E0587"/>
    <w:rsid w:val="003F0AE8"/>
    <w:rsid w:val="003F2325"/>
    <w:rsid w:val="003F479A"/>
    <w:rsid w:val="00400101"/>
    <w:rsid w:val="00400D3F"/>
    <w:rsid w:val="00401F3D"/>
    <w:rsid w:val="00402BC2"/>
    <w:rsid w:val="00403C4A"/>
    <w:rsid w:val="00403F8D"/>
    <w:rsid w:val="004046A2"/>
    <w:rsid w:val="00404A7E"/>
    <w:rsid w:val="00405C0F"/>
    <w:rsid w:val="00410437"/>
    <w:rsid w:val="004115BF"/>
    <w:rsid w:val="00411BEC"/>
    <w:rsid w:val="00411E49"/>
    <w:rsid w:val="0041306B"/>
    <w:rsid w:val="004151E8"/>
    <w:rsid w:val="00420807"/>
    <w:rsid w:val="0042135E"/>
    <w:rsid w:val="00421F9C"/>
    <w:rsid w:val="004223E3"/>
    <w:rsid w:val="00423D82"/>
    <w:rsid w:val="0042419C"/>
    <w:rsid w:val="00425D62"/>
    <w:rsid w:val="00426882"/>
    <w:rsid w:val="00430016"/>
    <w:rsid w:val="00430BD9"/>
    <w:rsid w:val="0043192E"/>
    <w:rsid w:val="00432097"/>
    <w:rsid w:val="004367BE"/>
    <w:rsid w:val="00436EBD"/>
    <w:rsid w:val="004377DA"/>
    <w:rsid w:val="00437C48"/>
    <w:rsid w:val="004431BA"/>
    <w:rsid w:val="00443C2C"/>
    <w:rsid w:val="004441B0"/>
    <w:rsid w:val="004441ED"/>
    <w:rsid w:val="00445DCD"/>
    <w:rsid w:val="00445FA1"/>
    <w:rsid w:val="00447A10"/>
    <w:rsid w:val="00451385"/>
    <w:rsid w:val="00454FB3"/>
    <w:rsid w:val="00455215"/>
    <w:rsid w:val="004552E9"/>
    <w:rsid w:val="00455F5C"/>
    <w:rsid w:val="00456032"/>
    <w:rsid w:val="004563BE"/>
    <w:rsid w:val="004602B9"/>
    <w:rsid w:val="004617C0"/>
    <w:rsid w:val="00462515"/>
    <w:rsid w:val="00462B75"/>
    <w:rsid w:val="00463306"/>
    <w:rsid w:val="00463F5D"/>
    <w:rsid w:val="00464679"/>
    <w:rsid w:val="0046547C"/>
    <w:rsid w:val="00471FF0"/>
    <w:rsid w:val="004738F3"/>
    <w:rsid w:val="004765A8"/>
    <w:rsid w:val="00480047"/>
    <w:rsid w:val="004836B9"/>
    <w:rsid w:val="00484188"/>
    <w:rsid w:val="0048435D"/>
    <w:rsid w:val="00487EB9"/>
    <w:rsid w:val="004901B0"/>
    <w:rsid w:val="004934E6"/>
    <w:rsid w:val="00493D45"/>
    <w:rsid w:val="00493E37"/>
    <w:rsid w:val="004962FB"/>
    <w:rsid w:val="004963E2"/>
    <w:rsid w:val="004A1D75"/>
    <w:rsid w:val="004A21FB"/>
    <w:rsid w:val="004A24C5"/>
    <w:rsid w:val="004A29F5"/>
    <w:rsid w:val="004A3F9D"/>
    <w:rsid w:val="004A4199"/>
    <w:rsid w:val="004A4673"/>
    <w:rsid w:val="004A47B1"/>
    <w:rsid w:val="004A47FC"/>
    <w:rsid w:val="004A5E5B"/>
    <w:rsid w:val="004B048D"/>
    <w:rsid w:val="004B0A6A"/>
    <w:rsid w:val="004B3BB7"/>
    <w:rsid w:val="004B45A7"/>
    <w:rsid w:val="004B508F"/>
    <w:rsid w:val="004B5DFE"/>
    <w:rsid w:val="004C02A7"/>
    <w:rsid w:val="004C1510"/>
    <w:rsid w:val="004C1C35"/>
    <w:rsid w:val="004C29DA"/>
    <w:rsid w:val="004C710D"/>
    <w:rsid w:val="004C7E8C"/>
    <w:rsid w:val="004D04B4"/>
    <w:rsid w:val="004D11CB"/>
    <w:rsid w:val="004D2501"/>
    <w:rsid w:val="004D27BE"/>
    <w:rsid w:val="004D348D"/>
    <w:rsid w:val="004D4EC2"/>
    <w:rsid w:val="004D5460"/>
    <w:rsid w:val="004D57DC"/>
    <w:rsid w:val="004D6022"/>
    <w:rsid w:val="004D6A5D"/>
    <w:rsid w:val="004E0F39"/>
    <w:rsid w:val="004E1EBE"/>
    <w:rsid w:val="004E4894"/>
    <w:rsid w:val="004E65FE"/>
    <w:rsid w:val="004E6AFC"/>
    <w:rsid w:val="004E79AC"/>
    <w:rsid w:val="004E7F86"/>
    <w:rsid w:val="004F0D56"/>
    <w:rsid w:val="004F18C0"/>
    <w:rsid w:val="004F391A"/>
    <w:rsid w:val="004F3DC7"/>
    <w:rsid w:val="004F4D42"/>
    <w:rsid w:val="004F4E55"/>
    <w:rsid w:val="004F7328"/>
    <w:rsid w:val="00501905"/>
    <w:rsid w:val="00503339"/>
    <w:rsid w:val="005036C4"/>
    <w:rsid w:val="005040D7"/>
    <w:rsid w:val="0050564D"/>
    <w:rsid w:val="00505D67"/>
    <w:rsid w:val="00505E5F"/>
    <w:rsid w:val="00510F80"/>
    <w:rsid w:val="005118C6"/>
    <w:rsid w:val="00513E1E"/>
    <w:rsid w:val="005141E2"/>
    <w:rsid w:val="00515831"/>
    <w:rsid w:val="005179B7"/>
    <w:rsid w:val="00517C0B"/>
    <w:rsid w:val="00520502"/>
    <w:rsid w:val="00521065"/>
    <w:rsid w:val="0052319C"/>
    <w:rsid w:val="005269B1"/>
    <w:rsid w:val="005341E9"/>
    <w:rsid w:val="00534250"/>
    <w:rsid w:val="00534688"/>
    <w:rsid w:val="00535497"/>
    <w:rsid w:val="00535DCE"/>
    <w:rsid w:val="00537C44"/>
    <w:rsid w:val="00542CB3"/>
    <w:rsid w:val="00543297"/>
    <w:rsid w:val="005471B4"/>
    <w:rsid w:val="005503BD"/>
    <w:rsid w:val="00550B94"/>
    <w:rsid w:val="005523F9"/>
    <w:rsid w:val="0055276B"/>
    <w:rsid w:val="00553F00"/>
    <w:rsid w:val="00554A89"/>
    <w:rsid w:val="00555116"/>
    <w:rsid w:val="00555F23"/>
    <w:rsid w:val="00557471"/>
    <w:rsid w:val="00562C20"/>
    <w:rsid w:val="00566821"/>
    <w:rsid w:val="0056703A"/>
    <w:rsid w:val="00570E18"/>
    <w:rsid w:val="005715F1"/>
    <w:rsid w:val="0057174A"/>
    <w:rsid w:val="005723BD"/>
    <w:rsid w:val="00573CAC"/>
    <w:rsid w:val="0057469C"/>
    <w:rsid w:val="00577A05"/>
    <w:rsid w:val="00580376"/>
    <w:rsid w:val="0058087E"/>
    <w:rsid w:val="0058139B"/>
    <w:rsid w:val="005838BF"/>
    <w:rsid w:val="005850E8"/>
    <w:rsid w:val="00586766"/>
    <w:rsid w:val="00587B37"/>
    <w:rsid w:val="00587D5E"/>
    <w:rsid w:val="00590D2D"/>
    <w:rsid w:val="00591EDB"/>
    <w:rsid w:val="005938F5"/>
    <w:rsid w:val="00593AAE"/>
    <w:rsid w:val="00593F21"/>
    <w:rsid w:val="00595972"/>
    <w:rsid w:val="00596709"/>
    <w:rsid w:val="005A22C9"/>
    <w:rsid w:val="005A2322"/>
    <w:rsid w:val="005A28D3"/>
    <w:rsid w:val="005A42BD"/>
    <w:rsid w:val="005A5022"/>
    <w:rsid w:val="005A51E9"/>
    <w:rsid w:val="005A6E90"/>
    <w:rsid w:val="005A79E8"/>
    <w:rsid w:val="005B0BD5"/>
    <w:rsid w:val="005B6287"/>
    <w:rsid w:val="005C0033"/>
    <w:rsid w:val="005C0AA2"/>
    <w:rsid w:val="005C12EE"/>
    <w:rsid w:val="005C1799"/>
    <w:rsid w:val="005C473E"/>
    <w:rsid w:val="005C5326"/>
    <w:rsid w:val="005D09C3"/>
    <w:rsid w:val="005D10AC"/>
    <w:rsid w:val="005D2D65"/>
    <w:rsid w:val="005D3A8A"/>
    <w:rsid w:val="005D3E74"/>
    <w:rsid w:val="005D6F5A"/>
    <w:rsid w:val="005D7E1C"/>
    <w:rsid w:val="005E0A8E"/>
    <w:rsid w:val="005E143C"/>
    <w:rsid w:val="005E34E3"/>
    <w:rsid w:val="005E51C6"/>
    <w:rsid w:val="005E76D4"/>
    <w:rsid w:val="005F036C"/>
    <w:rsid w:val="005F076B"/>
    <w:rsid w:val="005F1639"/>
    <w:rsid w:val="005F1A8B"/>
    <w:rsid w:val="005F49C5"/>
    <w:rsid w:val="005F5AF8"/>
    <w:rsid w:val="005F74DF"/>
    <w:rsid w:val="006008DC"/>
    <w:rsid w:val="006051F1"/>
    <w:rsid w:val="00606E63"/>
    <w:rsid w:val="006121DC"/>
    <w:rsid w:val="006133F4"/>
    <w:rsid w:val="0061350E"/>
    <w:rsid w:val="006135F6"/>
    <w:rsid w:val="00613B16"/>
    <w:rsid w:val="0061648C"/>
    <w:rsid w:val="00617865"/>
    <w:rsid w:val="0062411E"/>
    <w:rsid w:val="00630AFF"/>
    <w:rsid w:val="006322B0"/>
    <w:rsid w:val="00632416"/>
    <w:rsid w:val="006324F0"/>
    <w:rsid w:val="006329C6"/>
    <w:rsid w:val="00632B1F"/>
    <w:rsid w:val="00632E44"/>
    <w:rsid w:val="00633E25"/>
    <w:rsid w:val="00635060"/>
    <w:rsid w:val="0063660A"/>
    <w:rsid w:val="006368C8"/>
    <w:rsid w:val="00636AB9"/>
    <w:rsid w:val="0063778B"/>
    <w:rsid w:val="00637E87"/>
    <w:rsid w:val="00640535"/>
    <w:rsid w:val="006438A9"/>
    <w:rsid w:val="00647A77"/>
    <w:rsid w:val="006506D0"/>
    <w:rsid w:val="00652982"/>
    <w:rsid w:val="00652F1F"/>
    <w:rsid w:val="006535D4"/>
    <w:rsid w:val="00654DE3"/>
    <w:rsid w:val="00654F57"/>
    <w:rsid w:val="0065573D"/>
    <w:rsid w:val="00656AEA"/>
    <w:rsid w:val="00656E26"/>
    <w:rsid w:val="00657467"/>
    <w:rsid w:val="00657704"/>
    <w:rsid w:val="006578C6"/>
    <w:rsid w:val="00663B7E"/>
    <w:rsid w:val="00665165"/>
    <w:rsid w:val="00666B01"/>
    <w:rsid w:val="00667C37"/>
    <w:rsid w:val="00670A18"/>
    <w:rsid w:val="006721D2"/>
    <w:rsid w:val="00673EB6"/>
    <w:rsid w:val="00675A47"/>
    <w:rsid w:val="00680997"/>
    <w:rsid w:val="00682BB1"/>
    <w:rsid w:val="0068307C"/>
    <w:rsid w:val="00683AE6"/>
    <w:rsid w:val="00685641"/>
    <w:rsid w:val="00685E47"/>
    <w:rsid w:val="00686E05"/>
    <w:rsid w:val="00686E6A"/>
    <w:rsid w:val="006908BE"/>
    <w:rsid w:val="00690B7F"/>
    <w:rsid w:val="006920E8"/>
    <w:rsid w:val="00692CDD"/>
    <w:rsid w:val="00693BA9"/>
    <w:rsid w:val="0069495C"/>
    <w:rsid w:val="0069525C"/>
    <w:rsid w:val="00695F35"/>
    <w:rsid w:val="00697139"/>
    <w:rsid w:val="0069728E"/>
    <w:rsid w:val="006976C0"/>
    <w:rsid w:val="006A0906"/>
    <w:rsid w:val="006A1F9D"/>
    <w:rsid w:val="006A24A8"/>
    <w:rsid w:val="006A25CE"/>
    <w:rsid w:val="006A299B"/>
    <w:rsid w:val="006A35F7"/>
    <w:rsid w:val="006A424D"/>
    <w:rsid w:val="006A5C6B"/>
    <w:rsid w:val="006A7E09"/>
    <w:rsid w:val="006B02B6"/>
    <w:rsid w:val="006B1FDE"/>
    <w:rsid w:val="006B269F"/>
    <w:rsid w:val="006B26AD"/>
    <w:rsid w:val="006B2D6C"/>
    <w:rsid w:val="006B3E75"/>
    <w:rsid w:val="006B4AB6"/>
    <w:rsid w:val="006B5DCA"/>
    <w:rsid w:val="006B6439"/>
    <w:rsid w:val="006D0306"/>
    <w:rsid w:val="006D22A4"/>
    <w:rsid w:val="006D3752"/>
    <w:rsid w:val="006D4BB7"/>
    <w:rsid w:val="006D5718"/>
    <w:rsid w:val="006D5E66"/>
    <w:rsid w:val="006D6338"/>
    <w:rsid w:val="006E2314"/>
    <w:rsid w:val="006E3250"/>
    <w:rsid w:val="006E3825"/>
    <w:rsid w:val="006E3CA1"/>
    <w:rsid w:val="006E3D6B"/>
    <w:rsid w:val="006E4F5B"/>
    <w:rsid w:val="006E5AD0"/>
    <w:rsid w:val="006E6F82"/>
    <w:rsid w:val="006E7DC1"/>
    <w:rsid w:val="006F09FA"/>
    <w:rsid w:val="006F298A"/>
    <w:rsid w:val="006F4580"/>
    <w:rsid w:val="006F4582"/>
    <w:rsid w:val="006F4E3F"/>
    <w:rsid w:val="006F50CD"/>
    <w:rsid w:val="006F5121"/>
    <w:rsid w:val="006F56DA"/>
    <w:rsid w:val="007122BF"/>
    <w:rsid w:val="00712944"/>
    <w:rsid w:val="007138B7"/>
    <w:rsid w:val="007151A5"/>
    <w:rsid w:val="0071585F"/>
    <w:rsid w:val="00716DF5"/>
    <w:rsid w:val="0071735F"/>
    <w:rsid w:val="007176DA"/>
    <w:rsid w:val="00717780"/>
    <w:rsid w:val="00723CCA"/>
    <w:rsid w:val="00732C63"/>
    <w:rsid w:val="00733B54"/>
    <w:rsid w:val="0073485D"/>
    <w:rsid w:val="00734BBA"/>
    <w:rsid w:val="00735272"/>
    <w:rsid w:val="00735A17"/>
    <w:rsid w:val="0073696F"/>
    <w:rsid w:val="0074302D"/>
    <w:rsid w:val="0074575B"/>
    <w:rsid w:val="007477A7"/>
    <w:rsid w:val="00747DE6"/>
    <w:rsid w:val="00754471"/>
    <w:rsid w:val="007546D3"/>
    <w:rsid w:val="00755194"/>
    <w:rsid w:val="00755472"/>
    <w:rsid w:val="00757BAA"/>
    <w:rsid w:val="007601AA"/>
    <w:rsid w:val="00760C5E"/>
    <w:rsid w:val="00760EAC"/>
    <w:rsid w:val="00761930"/>
    <w:rsid w:val="00761FE7"/>
    <w:rsid w:val="00762C5A"/>
    <w:rsid w:val="007641A0"/>
    <w:rsid w:val="00764A66"/>
    <w:rsid w:val="00765D21"/>
    <w:rsid w:val="00771056"/>
    <w:rsid w:val="00771983"/>
    <w:rsid w:val="0077540A"/>
    <w:rsid w:val="00775424"/>
    <w:rsid w:val="00775F37"/>
    <w:rsid w:val="00776834"/>
    <w:rsid w:val="00780BCF"/>
    <w:rsid w:val="0078313A"/>
    <w:rsid w:val="00786EB8"/>
    <w:rsid w:val="0078773D"/>
    <w:rsid w:val="00787E27"/>
    <w:rsid w:val="007915C0"/>
    <w:rsid w:val="007918C8"/>
    <w:rsid w:val="00794E8F"/>
    <w:rsid w:val="00795E3E"/>
    <w:rsid w:val="0079663A"/>
    <w:rsid w:val="00797723"/>
    <w:rsid w:val="007A0FB9"/>
    <w:rsid w:val="007A2267"/>
    <w:rsid w:val="007A6656"/>
    <w:rsid w:val="007B0B37"/>
    <w:rsid w:val="007B1806"/>
    <w:rsid w:val="007B1E90"/>
    <w:rsid w:val="007B3D36"/>
    <w:rsid w:val="007B3D4E"/>
    <w:rsid w:val="007B5E20"/>
    <w:rsid w:val="007B6745"/>
    <w:rsid w:val="007B6E6F"/>
    <w:rsid w:val="007B6F28"/>
    <w:rsid w:val="007C0869"/>
    <w:rsid w:val="007C19D7"/>
    <w:rsid w:val="007C4E59"/>
    <w:rsid w:val="007C5C18"/>
    <w:rsid w:val="007C6F84"/>
    <w:rsid w:val="007C7FEF"/>
    <w:rsid w:val="007D028C"/>
    <w:rsid w:val="007D1943"/>
    <w:rsid w:val="007D197E"/>
    <w:rsid w:val="007D3129"/>
    <w:rsid w:val="007D4652"/>
    <w:rsid w:val="007D663A"/>
    <w:rsid w:val="007D7E27"/>
    <w:rsid w:val="007E0DAE"/>
    <w:rsid w:val="007E398E"/>
    <w:rsid w:val="007E6511"/>
    <w:rsid w:val="007E7444"/>
    <w:rsid w:val="007E796C"/>
    <w:rsid w:val="007F0A29"/>
    <w:rsid w:val="007F7879"/>
    <w:rsid w:val="0080518B"/>
    <w:rsid w:val="0080676A"/>
    <w:rsid w:val="0081121E"/>
    <w:rsid w:val="00812605"/>
    <w:rsid w:val="008138AF"/>
    <w:rsid w:val="008165AA"/>
    <w:rsid w:val="0082047E"/>
    <w:rsid w:val="00824BFD"/>
    <w:rsid w:val="00827393"/>
    <w:rsid w:val="00831097"/>
    <w:rsid w:val="00832B26"/>
    <w:rsid w:val="00834D2D"/>
    <w:rsid w:val="00835288"/>
    <w:rsid w:val="00836633"/>
    <w:rsid w:val="00843CDD"/>
    <w:rsid w:val="00844F76"/>
    <w:rsid w:val="008450CA"/>
    <w:rsid w:val="00846AC8"/>
    <w:rsid w:val="00846B18"/>
    <w:rsid w:val="00847A1C"/>
    <w:rsid w:val="00850C1A"/>
    <w:rsid w:val="00852516"/>
    <w:rsid w:val="00852A94"/>
    <w:rsid w:val="00854CA9"/>
    <w:rsid w:val="00856862"/>
    <w:rsid w:val="008609E8"/>
    <w:rsid w:val="00863B5E"/>
    <w:rsid w:val="00863FFF"/>
    <w:rsid w:val="00864B61"/>
    <w:rsid w:val="008663FE"/>
    <w:rsid w:val="008717C2"/>
    <w:rsid w:val="00871E15"/>
    <w:rsid w:val="00872810"/>
    <w:rsid w:val="00876AA2"/>
    <w:rsid w:val="008770EA"/>
    <w:rsid w:val="00877B23"/>
    <w:rsid w:val="00877D35"/>
    <w:rsid w:val="00880A68"/>
    <w:rsid w:val="00880B00"/>
    <w:rsid w:val="00880D1A"/>
    <w:rsid w:val="008835D8"/>
    <w:rsid w:val="00884FAC"/>
    <w:rsid w:val="008857F1"/>
    <w:rsid w:val="00886C7C"/>
    <w:rsid w:val="00893FDB"/>
    <w:rsid w:val="00896C53"/>
    <w:rsid w:val="0089755E"/>
    <w:rsid w:val="00897E99"/>
    <w:rsid w:val="008A07EB"/>
    <w:rsid w:val="008A0BD6"/>
    <w:rsid w:val="008A289D"/>
    <w:rsid w:val="008A5871"/>
    <w:rsid w:val="008B4EA4"/>
    <w:rsid w:val="008B54FA"/>
    <w:rsid w:val="008B592C"/>
    <w:rsid w:val="008B6612"/>
    <w:rsid w:val="008C19AB"/>
    <w:rsid w:val="008C207B"/>
    <w:rsid w:val="008C304C"/>
    <w:rsid w:val="008D2656"/>
    <w:rsid w:val="008D2BCB"/>
    <w:rsid w:val="008D41CC"/>
    <w:rsid w:val="008D596B"/>
    <w:rsid w:val="008D5C40"/>
    <w:rsid w:val="008D5C8F"/>
    <w:rsid w:val="008D64A0"/>
    <w:rsid w:val="008E0360"/>
    <w:rsid w:val="008E195A"/>
    <w:rsid w:val="008E2FA7"/>
    <w:rsid w:val="008E48B7"/>
    <w:rsid w:val="008E61B8"/>
    <w:rsid w:val="008E77C9"/>
    <w:rsid w:val="008E7872"/>
    <w:rsid w:val="008F0178"/>
    <w:rsid w:val="008F1DC6"/>
    <w:rsid w:val="008F3EEB"/>
    <w:rsid w:val="008F414D"/>
    <w:rsid w:val="008F4A35"/>
    <w:rsid w:val="009016BE"/>
    <w:rsid w:val="00903789"/>
    <w:rsid w:val="00904109"/>
    <w:rsid w:val="00905505"/>
    <w:rsid w:val="00905D98"/>
    <w:rsid w:val="009103D2"/>
    <w:rsid w:val="00910B35"/>
    <w:rsid w:val="009123DF"/>
    <w:rsid w:val="00914C0D"/>
    <w:rsid w:val="009168E9"/>
    <w:rsid w:val="00916E10"/>
    <w:rsid w:val="00917068"/>
    <w:rsid w:val="009243DA"/>
    <w:rsid w:val="00925178"/>
    <w:rsid w:val="00925540"/>
    <w:rsid w:val="00926200"/>
    <w:rsid w:val="009268B7"/>
    <w:rsid w:val="009277FC"/>
    <w:rsid w:val="0093105E"/>
    <w:rsid w:val="00933235"/>
    <w:rsid w:val="0093635D"/>
    <w:rsid w:val="00941D15"/>
    <w:rsid w:val="009429DC"/>
    <w:rsid w:val="00947722"/>
    <w:rsid w:val="009531EA"/>
    <w:rsid w:val="00953E41"/>
    <w:rsid w:val="0095725C"/>
    <w:rsid w:val="00962EE1"/>
    <w:rsid w:val="00964FD1"/>
    <w:rsid w:val="0096607D"/>
    <w:rsid w:val="00974ADC"/>
    <w:rsid w:val="00977077"/>
    <w:rsid w:val="00977995"/>
    <w:rsid w:val="00980DD6"/>
    <w:rsid w:val="009818ED"/>
    <w:rsid w:val="00983D49"/>
    <w:rsid w:val="00985F8F"/>
    <w:rsid w:val="009870BF"/>
    <w:rsid w:val="009871DB"/>
    <w:rsid w:val="00990541"/>
    <w:rsid w:val="009909D6"/>
    <w:rsid w:val="009920EB"/>
    <w:rsid w:val="00992AEC"/>
    <w:rsid w:val="009932B2"/>
    <w:rsid w:val="00994FDD"/>
    <w:rsid w:val="00995925"/>
    <w:rsid w:val="00995B1F"/>
    <w:rsid w:val="0099722E"/>
    <w:rsid w:val="009A06D6"/>
    <w:rsid w:val="009A08D2"/>
    <w:rsid w:val="009A2DAD"/>
    <w:rsid w:val="009A2FDF"/>
    <w:rsid w:val="009A395A"/>
    <w:rsid w:val="009A4ED3"/>
    <w:rsid w:val="009A50E1"/>
    <w:rsid w:val="009A63F9"/>
    <w:rsid w:val="009A67A4"/>
    <w:rsid w:val="009A718D"/>
    <w:rsid w:val="009A7C95"/>
    <w:rsid w:val="009B26FB"/>
    <w:rsid w:val="009B4EA9"/>
    <w:rsid w:val="009B50D4"/>
    <w:rsid w:val="009B5207"/>
    <w:rsid w:val="009B6F1E"/>
    <w:rsid w:val="009B7207"/>
    <w:rsid w:val="009C1D91"/>
    <w:rsid w:val="009C327C"/>
    <w:rsid w:val="009C5169"/>
    <w:rsid w:val="009C7F13"/>
    <w:rsid w:val="009D1270"/>
    <w:rsid w:val="009D279A"/>
    <w:rsid w:val="009D2CF8"/>
    <w:rsid w:val="009D2D20"/>
    <w:rsid w:val="009D315F"/>
    <w:rsid w:val="009D32A9"/>
    <w:rsid w:val="009D4191"/>
    <w:rsid w:val="009D555E"/>
    <w:rsid w:val="009D596D"/>
    <w:rsid w:val="009D68C2"/>
    <w:rsid w:val="009D75B9"/>
    <w:rsid w:val="009E1505"/>
    <w:rsid w:val="009E17BB"/>
    <w:rsid w:val="009E3DDF"/>
    <w:rsid w:val="009E5939"/>
    <w:rsid w:val="009E6476"/>
    <w:rsid w:val="009E6F9C"/>
    <w:rsid w:val="009E713F"/>
    <w:rsid w:val="009F1735"/>
    <w:rsid w:val="009F1949"/>
    <w:rsid w:val="00A041B4"/>
    <w:rsid w:val="00A069A6"/>
    <w:rsid w:val="00A15CCF"/>
    <w:rsid w:val="00A15FE7"/>
    <w:rsid w:val="00A16AD3"/>
    <w:rsid w:val="00A22982"/>
    <w:rsid w:val="00A2320B"/>
    <w:rsid w:val="00A235B6"/>
    <w:rsid w:val="00A24489"/>
    <w:rsid w:val="00A27170"/>
    <w:rsid w:val="00A27315"/>
    <w:rsid w:val="00A310A7"/>
    <w:rsid w:val="00A31C2C"/>
    <w:rsid w:val="00A3244D"/>
    <w:rsid w:val="00A32611"/>
    <w:rsid w:val="00A36226"/>
    <w:rsid w:val="00A401AD"/>
    <w:rsid w:val="00A41DE0"/>
    <w:rsid w:val="00A4314E"/>
    <w:rsid w:val="00A476F6"/>
    <w:rsid w:val="00A478C5"/>
    <w:rsid w:val="00A50A05"/>
    <w:rsid w:val="00A55C56"/>
    <w:rsid w:val="00A575D3"/>
    <w:rsid w:val="00A66A55"/>
    <w:rsid w:val="00A67A53"/>
    <w:rsid w:val="00A70F58"/>
    <w:rsid w:val="00A758D2"/>
    <w:rsid w:val="00A77537"/>
    <w:rsid w:val="00A77782"/>
    <w:rsid w:val="00A77FC1"/>
    <w:rsid w:val="00A8111F"/>
    <w:rsid w:val="00A81E05"/>
    <w:rsid w:val="00A82CD7"/>
    <w:rsid w:val="00A83A32"/>
    <w:rsid w:val="00A862A7"/>
    <w:rsid w:val="00A876A8"/>
    <w:rsid w:val="00A91A11"/>
    <w:rsid w:val="00A96F37"/>
    <w:rsid w:val="00AA09D9"/>
    <w:rsid w:val="00AA0F9F"/>
    <w:rsid w:val="00AA145C"/>
    <w:rsid w:val="00AA1FA3"/>
    <w:rsid w:val="00AA25B6"/>
    <w:rsid w:val="00AA32D4"/>
    <w:rsid w:val="00AA46E1"/>
    <w:rsid w:val="00AA5F1A"/>
    <w:rsid w:val="00AA7F2B"/>
    <w:rsid w:val="00AB085A"/>
    <w:rsid w:val="00AB10B9"/>
    <w:rsid w:val="00AB2FF3"/>
    <w:rsid w:val="00AB397C"/>
    <w:rsid w:val="00AB4015"/>
    <w:rsid w:val="00AB428C"/>
    <w:rsid w:val="00AB4EBF"/>
    <w:rsid w:val="00AB7819"/>
    <w:rsid w:val="00AB7C27"/>
    <w:rsid w:val="00AC0529"/>
    <w:rsid w:val="00AC1B4D"/>
    <w:rsid w:val="00AC3232"/>
    <w:rsid w:val="00AC3DC7"/>
    <w:rsid w:val="00AC4511"/>
    <w:rsid w:val="00AC46B6"/>
    <w:rsid w:val="00AC4BFE"/>
    <w:rsid w:val="00AC4C87"/>
    <w:rsid w:val="00AC5F02"/>
    <w:rsid w:val="00AC695A"/>
    <w:rsid w:val="00AC6DFA"/>
    <w:rsid w:val="00AC7079"/>
    <w:rsid w:val="00AC74D7"/>
    <w:rsid w:val="00AD368B"/>
    <w:rsid w:val="00AD4C20"/>
    <w:rsid w:val="00AD5201"/>
    <w:rsid w:val="00AD6D33"/>
    <w:rsid w:val="00AE08A6"/>
    <w:rsid w:val="00AE0B7C"/>
    <w:rsid w:val="00AE14FC"/>
    <w:rsid w:val="00AE1A2D"/>
    <w:rsid w:val="00AE2DBF"/>
    <w:rsid w:val="00AE52DD"/>
    <w:rsid w:val="00AE6BBB"/>
    <w:rsid w:val="00AE727D"/>
    <w:rsid w:val="00AE7308"/>
    <w:rsid w:val="00AF06F7"/>
    <w:rsid w:val="00AF3990"/>
    <w:rsid w:val="00AF3A27"/>
    <w:rsid w:val="00AF51BC"/>
    <w:rsid w:val="00AF628B"/>
    <w:rsid w:val="00AF6A27"/>
    <w:rsid w:val="00B00C1E"/>
    <w:rsid w:val="00B0138A"/>
    <w:rsid w:val="00B01E11"/>
    <w:rsid w:val="00B020C6"/>
    <w:rsid w:val="00B02444"/>
    <w:rsid w:val="00B13823"/>
    <w:rsid w:val="00B14C4F"/>
    <w:rsid w:val="00B150A5"/>
    <w:rsid w:val="00B16ACA"/>
    <w:rsid w:val="00B22ADD"/>
    <w:rsid w:val="00B2486C"/>
    <w:rsid w:val="00B260B5"/>
    <w:rsid w:val="00B301F5"/>
    <w:rsid w:val="00B3225E"/>
    <w:rsid w:val="00B32CDB"/>
    <w:rsid w:val="00B32DFD"/>
    <w:rsid w:val="00B33EA0"/>
    <w:rsid w:val="00B34EC7"/>
    <w:rsid w:val="00B3642B"/>
    <w:rsid w:val="00B36DBA"/>
    <w:rsid w:val="00B376C6"/>
    <w:rsid w:val="00B4024F"/>
    <w:rsid w:val="00B406BD"/>
    <w:rsid w:val="00B40ABF"/>
    <w:rsid w:val="00B426F4"/>
    <w:rsid w:val="00B439C4"/>
    <w:rsid w:val="00B45550"/>
    <w:rsid w:val="00B463B6"/>
    <w:rsid w:val="00B46E8B"/>
    <w:rsid w:val="00B50014"/>
    <w:rsid w:val="00B523A0"/>
    <w:rsid w:val="00B57A5F"/>
    <w:rsid w:val="00B61268"/>
    <w:rsid w:val="00B65A55"/>
    <w:rsid w:val="00B65F15"/>
    <w:rsid w:val="00B67DEA"/>
    <w:rsid w:val="00B70277"/>
    <w:rsid w:val="00B704E8"/>
    <w:rsid w:val="00B769C1"/>
    <w:rsid w:val="00B811FD"/>
    <w:rsid w:val="00B81BDE"/>
    <w:rsid w:val="00B81FA6"/>
    <w:rsid w:val="00B821A1"/>
    <w:rsid w:val="00B828E5"/>
    <w:rsid w:val="00B83463"/>
    <w:rsid w:val="00B850CA"/>
    <w:rsid w:val="00B85EF8"/>
    <w:rsid w:val="00B908C6"/>
    <w:rsid w:val="00B90DC4"/>
    <w:rsid w:val="00B911F2"/>
    <w:rsid w:val="00B913D3"/>
    <w:rsid w:val="00B924F2"/>
    <w:rsid w:val="00B92CDA"/>
    <w:rsid w:val="00B92E54"/>
    <w:rsid w:val="00B93DA5"/>
    <w:rsid w:val="00BA1846"/>
    <w:rsid w:val="00BA4480"/>
    <w:rsid w:val="00BA6363"/>
    <w:rsid w:val="00BA68D3"/>
    <w:rsid w:val="00BA6BDE"/>
    <w:rsid w:val="00BA6F04"/>
    <w:rsid w:val="00BA7301"/>
    <w:rsid w:val="00BA7F4B"/>
    <w:rsid w:val="00BB01FE"/>
    <w:rsid w:val="00BB4C0F"/>
    <w:rsid w:val="00BB5706"/>
    <w:rsid w:val="00BB61AB"/>
    <w:rsid w:val="00BB61DB"/>
    <w:rsid w:val="00BB6C8C"/>
    <w:rsid w:val="00BB7480"/>
    <w:rsid w:val="00BC083A"/>
    <w:rsid w:val="00BC08F6"/>
    <w:rsid w:val="00BC0E0C"/>
    <w:rsid w:val="00BC1C7F"/>
    <w:rsid w:val="00BC423E"/>
    <w:rsid w:val="00BC5B1A"/>
    <w:rsid w:val="00BD2A01"/>
    <w:rsid w:val="00BD30C1"/>
    <w:rsid w:val="00BD7AE6"/>
    <w:rsid w:val="00BE2032"/>
    <w:rsid w:val="00BE3477"/>
    <w:rsid w:val="00BE3A60"/>
    <w:rsid w:val="00BE5A03"/>
    <w:rsid w:val="00BE5E7D"/>
    <w:rsid w:val="00BE6B5D"/>
    <w:rsid w:val="00BF18F7"/>
    <w:rsid w:val="00BF2568"/>
    <w:rsid w:val="00BF2817"/>
    <w:rsid w:val="00BF3669"/>
    <w:rsid w:val="00BF382C"/>
    <w:rsid w:val="00BF5868"/>
    <w:rsid w:val="00BF5A39"/>
    <w:rsid w:val="00BF635A"/>
    <w:rsid w:val="00BF6B5F"/>
    <w:rsid w:val="00C04607"/>
    <w:rsid w:val="00C122B3"/>
    <w:rsid w:val="00C127AE"/>
    <w:rsid w:val="00C12F40"/>
    <w:rsid w:val="00C13D90"/>
    <w:rsid w:val="00C1501A"/>
    <w:rsid w:val="00C16910"/>
    <w:rsid w:val="00C16DDB"/>
    <w:rsid w:val="00C16E33"/>
    <w:rsid w:val="00C23106"/>
    <w:rsid w:val="00C23C18"/>
    <w:rsid w:val="00C248BA"/>
    <w:rsid w:val="00C24B83"/>
    <w:rsid w:val="00C261DA"/>
    <w:rsid w:val="00C276BA"/>
    <w:rsid w:val="00C3091B"/>
    <w:rsid w:val="00C375EA"/>
    <w:rsid w:val="00C40538"/>
    <w:rsid w:val="00C407C6"/>
    <w:rsid w:val="00C40DDE"/>
    <w:rsid w:val="00C421C1"/>
    <w:rsid w:val="00C42A74"/>
    <w:rsid w:val="00C43DBB"/>
    <w:rsid w:val="00C45059"/>
    <w:rsid w:val="00C502EA"/>
    <w:rsid w:val="00C56F24"/>
    <w:rsid w:val="00C625CF"/>
    <w:rsid w:val="00C64AAD"/>
    <w:rsid w:val="00C64BEA"/>
    <w:rsid w:val="00C64C94"/>
    <w:rsid w:val="00C7060A"/>
    <w:rsid w:val="00C73566"/>
    <w:rsid w:val="00C74343"/>
    <w:rsid w:val="00C81623"/>
    <w:rsid w:val="00C81A60"/>
    <w:rsid w:val="00C81B05"/>
    <w:rsid w:val="00C827B7"/>
    <w:rsid w:val="00C848A6"/>
    <w:rsid w:val="00C87578"/>
    <w:rsid w:val="00C87710"/>
    <w:rsid w:val="00C93C92"/>
    <w:rsid w:val="00C96189"/>
    <w:rsid w:val="00C9631E"/>
    <w:rsid w:val="00C96C06"/>
    <w:rsid w:val="00CA0365"/>
    <w:rsid w:val="00CA0618"/>
    <w:rsid w:val="00CA14F3"/>
    <w:rsid w:val="00CA1BA7"/>
    <w:rsid w:val="00CA1BBD"/>
    <w:rsid w:val="00CA2B0A"/>
    <w:rsid w:val="00CA2B30"/>
    <w:rsid w:val="00CA3943"/>
    <w:rsid w:val="00CA3A57"/>
    <w:rsid w:val="00CA4AA6"/>
    <w:rsid w:val="00CA72BF"/>
    <w:rsid w:val="00CB0C99"/>
    <w:rsid w:val="00CB1553"/>
    <w:rsid w:val="00CB1D17"/>
    <w:rsid w:val="00CB1E7D"/>
    <w:rsid w:val="00CB378F"/>
    <w:rsid w:val="00CB4B3C"/>
    <w:rsid w:val="00CB7B09"/>
    <w:rsid w:val="00CC325C"/>
    <w:rsid w:val="00CC4948"/>
    <w:rsid w:val="00CC5D53"/>
    <w:rsid w:val="00CC6452"/>
    <w:rsid w:val="00CC6A15"/>
    <w:rsid w:val="00CD28B2"/>
    <w:rsid w:val="00CD4E6E"/>
    <w:rsid w:val="00CD4E92"/>
    <w:rsid w:val="00CD4E96"/>
    <w:rsid w:val="00CD50C6"/>
    <w:rsid w:val="00CD5236"/>
    <w:rsid w:val="00CD736F"/>
    <w:rsid w:val="00CD76CF"/>
    <w:rsid w:val="00CD7E63"/>
    <w:rsid w:val="00CE163D"/>
    <w:rsid w:val="00CE4E93"/>
    <w:rsid w:val="00CE5B72"/>
    <w:rsid w:val="00CE6102"/>
    <w:rsid w:val="00CF0B56"/>
    <w:rsid w:val="00CF0F62"/>
    <w:rsid w:val="00CF3639"/>
    <w:rsid w:val="00CF3D1C"/>
    <w:rsid w:val="00CF4371"/>
    <w:rsid w:val="00CF6B05"/>
    <w:rsid w:val="00CF74ED"/>
    <w:rsid w:val="00CF7728"/>
    <w:rsid w:val="00D006CF"/>
    <w:rsid w:val="00D0082D"/>
    <w:rsid w:val="00D00DFE"/>
    <w:rsid w:val="00D02126"/>
    <w:rsid w:val="00D04FF8"/>
    <w:rsid w:val="00D05EB2"/>
    <w:rsid w:val="00D06358"/>
    <w:rsid w:val="00D0657F"/>
    <w:rsid w:val="00D07243"/>
    <w:rsid w:val="00D11987"/>
    <w:rsid w:val="00D11B90"/>
    <w:rsid w:val="00D122BB"/>
    <w:rsid w:val="00D143D7"/>
    <w:rsid w:val="00D14F69"/>
    <w:rsid w:val="00D156CA"/>
    <w:rsid w:val="00D16127"/>
    <w:rsid w:val="00D179BB"/>
    <w:rsid w:val="00D17A52"/>
    <w:rsid w:val="00D17A64"/>
    <w:rsid w:val="00D2011A"/>
    <w:rsid w:val="00D20215"/>
    <w:rsid w:val="00D20A69"/>
    <w:rsid w:val="00D22A4B"/>
    <w:rsid w:val="00D25112"/>
    <w:rsid w:val="00D255BD"/>
    <w:rsid w:val="00D26C28"/>
    <w:rsid w:val="00D26C7F"/>
    <w:rsid w:val="00D318FF"/>
    <w:rsid w:val="00D33179"/>
    <w:rsid w:val="00D33C06"/>
    <w:rsid w:val="00D403DA"/>
    <w:rsid w:val="00D41401"/>
    <w:rsid w:val="00D43013"/>
    <w:rsid w:val="00D4389F"/>
    <w:rsid w:val="00D444CC"/>
    <w:rsid w:val="00D44C3C"/>
    <w:rsid w:val="00D466FB"/>
    <w:rsid w:val="00D475AA"/>
    <w:rsid w:val="00D52B09"/>
    <w:rsid w:val="00D536D1"/>
    <w:rsid w:val="00D54455"/>
    <w:rsid w:val="00D54DA1"/>
    <w:rsid w:val="00D55C58"/>
    <w:rsid w:val="00D562C5"/>
    <w:rsid w:val="00D5737D"/>
    <w:rsid w:val="00D60A05"/>
    <w:rsid w:val="00D63F8A"/>
    <w:rsid w:val="00D64E1C"/>
    <w:rsid w:val="00D64FD7"/>
    <w:rsid w:val="00D6539E"/>
    <w:rsid w:val="00D66B84"/>
    <w:rsid w:val="00D66CF0"/>
    <w:rsid w:val="00D7047B"/>
    <w:rsid w:val="00D704BE"/>
    <w:rsid w:val="00D706C4"/>
    <w:rsid w:val="00D71126"/>
    <w:rsid w:val="00D7450A"/>
    <w:rsid w:val="00D7469D"/>
    <w:rsid w:val="00D81567"/>
    <w:rsid w:val="00D82096"/>
    <w:rsid w:val="00D82302"/>
    <w:rsid w:val="00D836D6"/>
    <w:rsid w:val="00D901A0"/>
    <w:rsid w:val="00D90AF2"/>
    <w:rsid w:val="00D923E7"/>
    <w:rsid w:val="00D929F4"/>
    <w:rsid w:val="00D93671"/>
    <w:rsid w:val="00D94C1D"/>
    <w:rsid w:val="00D95066"/>
    <w:rsid w:val="00DA128A"/>
    <w:rsid w:val="00DA582C"/>
    <w:rsid w:val="00DA5EAC"/>
    <w:rsid w:val="00DA660C"/>
    <w:rsid w:val="00DA67D1"/>
    <w:rsid w:val="00DA7E9C"/>
    <w:rsid w:val="00DB0281"/>
    <w:rsid w:val="00DB2A8D"/>
    <w:rsid w:val="00DB2E15"/>
    <w:rsid w:val="00DB3F8A"/>
    <w:rsid w:val="00DB620A"/>
    <w:rsid w:val="00DB7977"/>
    <w:rsid w:val="00DC1746"/>
    <w:rsid w:val="00DC1ED5"/>
    <w:rsid w:val="00DC251F"/>
    <w:rsid w:val="00DC2887"/>
    <w:rsid w:val="00DC2971"/>
    <w:rsid w:val="00DC4C04"/>
    <w:rsid w:val="00DC570C"/>
    <w:rsid w:val="00DD02B8"/>
    <w:rsid w:val="00DD3DAD"/>
    <w:rsid w:val="00DD4058"/>
    <w:rsid w:val="00DD78F2"/>
    <w:rsid w:val="00DD7AB6"/>
    <w:rsid w:val="00DE38B3"/>
    <w:rsid w:val="00DE469D"/>
    <w:rsid w:val="00DE4C5B"/>
    <w:rsid w:val="00DE5DBB"/>
    <w:rsid w:val="00DE758C"/>
    <w:rsid w:val="00DE7D49"/>
    <w:rsid w:val="00DF0DC3"/>
    <w:rsid w:val="00DF3500"/>
    <w:rsid w:val="00DF41E8"/>
    <w:rsid w:val="00DF48EF"/>
    <w:rsid w:val="00DF69E0"/>
    <w:rsid w:val="00DF7F2E"/>
    <w:rsid w:val="00E01421"/>
    <w:rsid w:val="00E01B3A"/>
    <w:rsid w:val="00E01BD4"/>
    <w:rsid w:val="00E02C04"/>
    <w:rsid w:val="00E04181"/>
    <w:rsid w:val="00E04744"/>
    <w:rsid w:val="00E06884"/>
    <w:rsid w:val="00E13651"/>
    <w:rsid w:val="00E1371F"/>
    <w:rsid w:val="00E15FAE"/>
    <w:rsid w:val="00E172A5"/>
    <w:rsid w:val="00E20231"/>
    <w:rsid w:val="00E22253"/>
    <w:rsid w:val="00E2245F"/>
    <w:rsid w:val="00E23E9E"/>
    <w:rsid w:val="00E2437F"/>
    <w:rsid w:val="00E25A85"/>
    <w:rsid w:val="00E26403"/>
    <w:rsid w:val="00E2793F"/>
    <w:rsid w:val="00E27E9D"/>
    <w:rsid w:val="00E3034C"/>
    <w:rsid w:val="00E307EC"/>
    <w:rsid w:val="00E30F35"/>
    <w:rsid w:val="00E316CB"/>
    <w:rsid w:val="00E31A74"/>
    <w:rsid w:val="00E3246D"/>
    <w:rsid w:val="00E33910"/>
    <w:rsid w:val="00E33EE8"/>
    <w:rsid w:val="00E35DD1"/>
    <w:rsid w:val="00E36D4D"/>
    <w:rsid w:val="00E36D53"/>
    <w:rsid w:val="00E36F49"/>
    <w:rsid w:val="00E37065"/>
    <w:rsid w:val="00E37312"/>
    <w:rsid w:val="00E41826"/>
    <w:rsid w:val="00E4199A"/>
    <w:rsid w:val="00E41D14"/>
    <w:rsid w:val="00E433C0"/>
    <w:rsid w:val="00E4661F"/>
    <w:rsid w:val="00E514AD"/>
    <w:rsid w:val="00E52658"/>
    <w:rsid w:val="00E52989"/>
    <w:rsid w:val="00E54D5B"/>
    <w:rsid w:val="00E567E7"/>
    <w:rsid w:val="00E56B7F"/>
    <w:rsid w:val="00E61393"/>
    <w:rsid w:val="00E63D97"/>
    <w:rsid w:val="00E70696"/>
    <w:rsid w:val="00E72038"/>
    <w:rsid w:val="00E73706"/>
    <w:rsid w:val="00E75538"/>
    <w:rsid w:val="00E76603"/>
    <w:rsid w:val="00E7721B"/>
    <w:rsid w:val="00E80483"/>
    <w:rsid w:val="00E81009"/>
    <w:rsid w:val="00E81098"/>
    <w:rsid w:val="00E838FC"/>
    <w:rsid w:val="00E83D2B"/>
    <w:rsid w:val="00E844E4"/>
    <w:rsid w:val="00E85D62"/>
    <w:rsid w:val="00E8784B"/>
    <w:rsid w:val="00E87895"/>
    <w:rsid w:val="00E87D4F"/>
    <w:rsid w:val="00E90346"/>
    <w:rsid w:val="00E90664"/>
    <w:rsid w:val="00E92071"/>
    <w:rsid w:val="00E92108"/>
    <w:rsid w:val="00E94302"/>
    <w:rsid w:val="00EA0DE7"/>
    <w:rsid w:val="00EA3C93"/>
    <w:rsid w:val="00EA3FA9"/>
    <w:rsid w:val="00EA5E7D"/>
    <w:rsid w:val="00EB0B10"/>
    <w:rsid w:val="00EB3F5D"/>
    <w:rsid w:val="00EB4ADD"/>
    <w:rsid w:val="00EB638E"/>
    <w:rsid w:val="00EB660E"/>
    <w:rsid w:val="00EC0847"/>
    <w:rsid w:val="00EC0E34"/>
    <w:rsid w:val="00EC1C5C"/>
    <w:rsid w:val="00EC5FFA"/>
    <w:rsid w:val="00EC6BF8"/>
    <w:rsid w:val="00EC723F"/>
    <w:rsid w:val="00EC7930"/>
    <w:rsid w:val="00ED04D8"/>
    <w:rsid w:val="00ED1DE5"/>
    <w:rsid w:val="00ED20D7"/>
    <w:rsid w:val="00ED3378"/>
    <w:rsid w:val="00ED59B0"/>
    <w:rsid w:val="00EE16B8"/>
    <w:rsid w:val="00EE17DA"/>
    <w:rsid w:val="00EE53BD"/>
    <w:rsid w:val="00EE691C"/>
    <w:rsid w:val="00EF1324"/>
    <w:rsid w:val="00EF15DA"/>
    <w:rsid w:val="00EF304C"/>
    <w:rsid w:val="00EF639D"/>
    <w:rsid w:val="00F00796"/>
    <w:rsid w:val="00F0128C"/>
    <w:rsid w:val="00F022D3"/>
    <w:rsid w:val="00F02FC4"/>
    <w:rsid w:val="00F040CD"/>
    <w:rsid w:val="00F0504D"/>
    <w:rsid w:val="00F05253"/>
    <w:rsid w:val="00F05372"/>
    <w:rsid w:val="00F109FF"/>
    <w:rsid w:val="00F11373"/>
    <w:rsid w:val="00F11D17"/>
    <w:rsid w:val="00F14675"/>
    <w:rsid w:val="00F14E40"/>
    <w:rsid w:val="00F17ABC"/>
    <w:rsid w:val="00F20339"/>
    <w:rsid w:val="00F23302"/>
    <w:rsid w:val="00F23B20"/>
    <w:rsid w:val="00F25AA8"/>
    <w:rsid w:val="00F26DFA"/>
    <w:rsid w:val="00F27D8F"/>
    <w:rsid w:val="00F303CA"/>
    <w:rsid w:val="00F3083B"/>
    <w:rsid w:val="00F32E21"/>
    <w:rsid w:val="00F36B2E"/>
    <w:rsid w:val="00F404C0"/>
    <w:rsid w:val="00F416E2"/>
    <w:rsid w:val="00F4393A"/>
    <w:rsid w:val="00F45E39"/>
    <w:rsid w:val="00F45F42"/>
    <w:rsid w:val="00F4685A"/>
    <w:rsid w:val="00F46CC7"/>
    <w:rsid w:val="00F46E0B"/>
    <w:rsid w:val="00F47FA5"/>
    <w:rsid w:val="00F50513"/>
    <w:rsid w:val="00F506E2"/>
    <w:rsid w:val="00F51DA6"/>
    <w:rsid w:val="00F5420C"/>
    <w:rsid w:val="00F54631"/>
    <w:rsid w:val="00F554D1"/>
    <w:rsid w:val="00F564AE"/>
    <w:rsid w:val="00F565E4"/>
    <w:rsid w:val="00F57907"/>
    <w:rsid w:val="00F60B4D"/>
    <w:rsid w:val="00F61840"/>
    <w:rsid w:val="00F62A7C"/>
    <w:rsid w:val="00F62C8F"/>
    <w:rsid w:val="00F63021"/>
    <w:rsid w:val="00F641FE"/>
    <w:rsid w:val="00F649C0"/>
    <w:rsid w:val="00F6683C"/>
    <w:rsid w:val="00F75A34"/>
    <w:rsid w:val="00F75A7C"/>
    <w:rsid w:val="00F769A0"/>
    <w:rsid w:val="00F7718D"/>
    <w:rsid w:val="00F771E8"/>
    <w:rsid w:val="00F7799B"/>
    <w:rsid w:val="00F779C8"/>
    <w:rsid w:val="00F8040A"/>
    <w:rsid w:val="00F821F5"/>
    <w:rsid w:val="00F82ABB"/>
    <w:rsid w:val="00F84C06"/>
    <w:rsid w:val="00F84D27"/>
    <w:rsid w:val="00F87D2F"/>
    <w:rsid w:val="00F90273"/>
    <w:rsid w:val="00F9064D"/>
    <w:rsid w:val="00F90DC4"/>
    <w:rsid w:val="00F924BF"/>
    <w:rsid w:val="00F9269E"/>
    <w:rsid w:val="00F92C22"/>
    <w:rsid w:val="00F9313F"/>
    <w:rsid w:val="00F93604"/>
    <w:rsid w:val="00F94212"/>
    <w:rsid w:val="00F94F06"/>
    <w:rsid w:val="00F94FD2"/>
    <w:rsid w:val="00F96703"/>
    <w:rsid w:val="00F972F8"/>
    <w:rsid w:val="00FA1300"/>
    <w:rsid w:val="00FA39CE"/>
    <w:rsid w:val="00FA47D3"/>
    <w:rsid w:val="00FA489F"/>
    <w:rsid w:val="00FA6241"/>
    <w:rsid w:val="00FA770E"/>
    <w:rsid w:val="00FA7C09"/>
    <w:rsid w:val="00FA7F82"/>
    <w:rsid w:val="00FB3DE5"/>
    <w:rsid w:val="00FB4B57"/>
    <w:rsid w:val="00FB4ED5"/>
    <w:rsid w:val="00FB6783"/>
    <w:rsid w:val="00FC228B"/>
    <w:rsid w:val="00FC2998"/>
    <w:rsid w:val="00FC2DB5"/>
    <w:rsid w:val="00FC56C2"/>
    <w:rsid w:val="00FD4F1A"/>
    <w:rsid w:val="00FD687D"/>
    <w:rsid w:val="00FE21E7"/>
    <w:rsid w:val="00FE3996"/>
    <w:rsid w:val="00FE5B06"/>
    <w:rsid w:val="00FE6B66"/>
    <w:rsid w:val="00FE745E"/>
    <w:rsid w:val="00FF0431"/>
    <w:rsid w:val="00FF16CB"/>
    <w:rsid w:val="00FF2F01"/>
    <w:rsid w:val="00FF3C77"/>
    <w:rsid w:val="00FF68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CA7B2"/>
  <w15:docId w15:val="{9DB189A3-06A9-47A8-A29B-816E3303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0"/>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93"/>
    <w:pPr>
      <w:jc w:val="both"/>
    </w:pPr>
  </w:style>
  <w:style w:type="paragraph" w:styleId="1">
    <w:name w:val="heading 1"/>
    <w:basedOn w:val="a"/>
    <w:link w:val="1Char"/>
    <w:qFormat/>
    <w:rsid w:val="00D704BE"/>
    <w:pPr>
      <w:spacing w:after="0" w:line="240" w:lineRule="auto"/>
      <w:outlineLvl w:val="0"/>
    </w:pPr>
    <w:rPr>
      <w:rFonts w:ascii="Times New Roman" w:eastAsia="Batang" w:hAnsi="Times New Roman" w:cs="Times New Roman"/>
      <w:b/>
      <w:bCs/>
      <w:kern w:val="36"/>
      <w:sz w:val="48"/>
      <w:szCs w:val="48"/>
      <w:lang w:eastAsia="ja-JP"/>
    </w:rPr>
  </w:style>
  <w:style w:type="paragraph" w:styleId="2">
    <w:name w:val="heading 2"/>
    <w:basedOn w:val="a"/>
    <w:next w:val="a"/>
    <w:link w:val="2Char"/>
    <w:unhideWhenUsed/>
    <w:qFormat/>
    <w:rsid w:val="004617C0"/>
    <w:pPr>
      <w:keepNext/>
      <w:keepLines/>
      <w:spacing w:before="40" w:after="0" w:line="240" w:lineRule="auto"/>
      <w:outlineLvl w:val="1"/>
    </w:pPr>
    <w:rPr>
      <w:rFonts w:ascii="Calibri" w:eastAsiaTheme="majorEastAsia" w:hAnsi="Calibri" w:cstheme="majorBidi"/>
      <w:b/>
      <w:color w:val="2E74B5" w:themeColor="accent1" w:themeShade="BF"/>
      <w:sz w:val="28"/>
      <w:szCs w:val="26"/>
      <w:lang w:eastAsia="ko-KR"/>
    </w:rPr>
  </w:style>
  <w:style w:type="paragraph" w:styleId="3">
    <w:name w:val="heading 3"/>
    <w:basedOn w:val="a"/>
    <w:next w:val="a"/>
    <w:link w:val="3Char"/>
    <w:unhideWhenUsed/>
    <w:qFormat/>
    <w:rsid w:val="00A41DE0"/>
    <w:pPr>
      <w:keepNext/>
      <w:keepLines/>
      <w:spacing w:before="40" w:after="0"/>
      <w:outlineLvl w:val="2"/>
    </w:pPr>
    <w:rPr>
      <w:rFonts w:ascii="Calibri" w:eastAsiaTheme="majorEastAsia" w:hAnsi="Calibri" w:cstheme="majorBidi"/>
      <w:b/>
      <w:color w:val="0070C0"/>
      <w:sz w:val="24"/>
      <w:szCs w:val="24"/>
    </w:rPr>
  </w:style>
  <w:style w:type="paragraph" w:styleId="4">
    <w:name w:val="heading 4"/>
    <w:basedOn w:val="a"/>
    <w:next w:val="a"/>
    <w:link w:val="4Char"/>
    <w:unhideWhenUsed/>
    <w:qFormat/>
    <w:rsid w:val="00394EF8"/>
    <w:pPr>
      <w:pBdr>
        <w:top w:val="dotted" w:sz="6" w:space="2" w:color="5B9BD5" w:themeColor="accent1"/>
      </w:pBdr>
      <w:spacing w:before="200" w:after="0" w:line="276" w:lineRule="auto"/>
      <w:jc w:val="left"/>
      <w:outlineLvl w:val="3"/>
    </w:pPr>
    <w:rPr>
      <w:rFonts w:eastAsiaTheme="minorEastAsia"/>
      <w:caps/>
      <w:color w:val="2E74B5" w:themeColor="accent1" w:themeShade="BF"/>
      <w:spacing w:val="10"/>
      <w:sz w:val="20"/>
      <w:szCs w:val="20"/>
      <w:lang w:val="en-US"/>
    </w:rPr>
  </w:style>
  <w:style w:type="paragraph" w:styleId="5">
    <w:name w:val="heading 5"/>
    <w:basedOn w:val="a"/>
    <w:next w:val="a"/>
    <w:link w:val="5Char"/>
    <w:qFormat/>
    <w:rsid w:val="00A401AD"/>
    <w:pPr>
      <w:keepNext/>
      <w:keepLines/>
      <w:spacing w:before="200" w:after="0" w:line="240" w:lineRule="auto"/>
      <w:outlineLvl w:val="4"/>
    </w:pPr>
    <w:rPr>
      <w:rFonts w:ascii="Cambria" w:eastAsia="Batang" w:hAnsi="Cambria" w:cs="Times New Roman"/>
      <w:color w:val="243F60"/>
      <w:sz w:val="24"/>
      <w:szCs w:val="24"/>
      <w:lang w:eastAsia="ko-KR"/>
    </w:rPr>
  </w:style>
  <w:style w:type="paragraph" w:styleId="6">
    <w:name w:val="heading 6"/>
    <w:basedOn w:val="a"/>
    <w:next w:val="a"/>
    <w:link w:val="6Char"/>
    <w:semiHidden/>
    <w:unhideWhenUsed/>
    <w:qFormat/>
    <w:rsid w:val="00394EF8"/>
    <w:pPr>
      <w:pBdr>
        <w:bottom w:val="dotted" w:sz="6" w:space="1" w:color="5B9BD5" w:themeColor="accent1"/>
      </w:pBdr>
      <w:spacing w:before="200" w:after="0" w:line="276" w:lineRule="auto"/>
      <w:jc w:val="left"/>
      <w:outlineLvl w:val="5"/>
    </w:pPr>
    <w:rPr>
      <w:rFonts w:eastAsiaTheme="minorEastAsia"/>
      <w:caps/>
      <w:color w:val="2E74B5" w:themeColor="accent1" w:themeShade="BF"/>
      <w:spacing w:val="10"/>
      <w:sz w:val="20"/>
      <w:szCs w:val="20"/>
      <w:lang w:val="en-US"/>
    </w:rPr>
  </w:style>
  <w:style w:type="paragraph" w:styleId="7">
    <w:name w:val="heading 7"/>
    <w:basedOn w:val="a"/>
    <w:next w:val="a"/>
    <w:link w:val="7Char"/>
    <w:qFormat/>
    <w:rsid w:val="00A401AD"/>
    <w:pPr>
      <w:spacing w:before="240" w:after="60" w:line="240" w:lineRule="auto"/>
      <w:outlineLvl w:val="6"/>
    </w:pPr>
    <w:rPr>
      <w:rFonts w:ascii="Times New Roman" w:eastAsia="Batang" w:hAnsi="Times New Roman" w:cs="Times New Roman"/>
      <w:sz w:val="24"/>
      <w:szCs w:val="24"/>
      <w:lang w:eastAsia="ko-KR"/>
    </w:rPr>
  </w:style>
  <w:style w:type="paragraph" w:styleId="8">
    <w:name w:val="heading 8"/>
    <w:basedOn w:val="a"/>
    <w:next w:val="a"/>
    <w:link w:val="8Char"/>
    <w:qFormat/>
    <w:rsid w:val="00A401AD"/>
    <w:pPr>
      <w:spacing w:before="240" w:after="60" w:line="240" w:lineRule="auto"/>
      <w:outlineLvl w:val="7"/>
    </w:pPr>
    <w:rPr>
      <w:rFonts w:ascii="Times New Roman" w:eastAsia="Batang" w:hAnsi="Times New Roman" w:cs="Times New Roman"/>
      <w:i/>
      <w:iCs/>
      <w:sz w:val="24"/>
      <w:szCs w:val="24"/>
      <w:lang w:eastAsia="ko-KR"/>
    </w:rPr>
  </w:style>
  <w:style w:type="paragraph" w:styleId="9">
    <w:name w:val="heading 9"/>
    <w:basedOn w:val="a"/>
    <w:next w:val="a"/>
    <w:link w:val="9Char"/>
    <w:semiHidden/>
    <w:unhideWhenUsed/>
    <w:qFormat/>
    <w:rsid w:val="00394EF8"/>
    <w:pPr>
      <w:spacing w:before="200" w:after="0" w:line="276" w:lineRule="auto"/>
      <w:jc w:val="left"/>
      <w:outlineLvl w:val="8"/>
    </w:pPr>
    <w:rPr>
      <w:rFonts w:eastAsiaTheme="minorEastAsia"/>
      <w:i/>
      <w:iCs/>
      <w:caps/>
      <w:spacing w:val="10"/>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704BE"/>
    <w:rPr>
      <w:rFonts w:ascii="Times New Roman" w:eastAsia="Batang" w:hAnsi="Times New Roman" w:cs="Times New Roman"/>
      <w:b/>
      <w:bCs/>
      <w:kern w:val="36"/>
      <w:sz w:val="48"/>
      <w:szCs w:val="48"/>
      <w:lang w:eastAsia="ja-JP"/>
    </w:rPr>
  </w:style>
  <w:style w:type="character" w:customStyle="1" w:styleId="2Char">
    <w:name w:val="Επικεφαλίδα 2 Char"/>
    <w:basedOn w:val="a0"/>
    <w:link w:val="2"/>
    <w:rsid w:val="004617C0"/>
    <w:rPr>
      <w:rFonts w:ascii="Calibri" w:eastAsiaTheme="majorEastAsia" w:hAnsi="Calibri" w:cstheme="majorBidi"/>
      <w:b/>
      <w:color w:val="2E74B5" w:themeColor="accent1" w:themeShade="BF"/>
      <w:sz w:val="28"/>
      <w:szCs w:val="26"/>
      <w:lang w:eastAsia="ko-KR"/>
    </w:rPr>
  </w:style>
  <w:style w:type="character" w:customStyle="1" w:styleId="5Char">
    <w:name w:val="Επικεφαλίδα 5 Char"/>
    <w:basedOn w:val="a0"/>
    <w:link w:val="5"/>
    <w:rsid w:val="00A401AD"/>
    <w:rPr>
      <w:rFonts w:ascii="Cambria" w:eastAsia="Batang" w:hAnsi="Cambria" w:cs="Times New Roman"/>
      <w:color w:val="243F60"/>
      <w:sz w:val="24"/>
      <w:szCs w:val="24"/>
      <w:lang w:eastAsia="ko-KR"/>
    </w:rPr>
  </w:style>
  <w:style w:type="character" w:customStyle="1" w:styleId="7Char">
    <w:name w:val="Επικεφαλίδα 7 Char"/>
    <w:basedOn w:val="a0"/>
    <w:link w:val="7"/>
    <w:rsid w:val="00A401AD"/>
    <w:rPr>
      <w:rFonts w:ascii="Times New Roman" w:eastAsia="Batang" w:hAnsi="Times New Roman" w:cs="Times New Roman"/>
      <w:sz w:val="24"/>
      <w:szCs w:val="24"/>
      <w:lang w:eastAsia="ko-KR"/>
    </w:rPr>
  </w:style>
  <w:style w:type="character" w:customStyle="1" w:styleId="8Char">
    <w:name w:val="Επικεφαλίδα 8 Char"/>
    <w:basedOn w:val="a0"/>
    <w:link w:val="8"/>
    <w:rsid w:val="00A401AD"/>
    <w:rPr>
      <w:rFonts w:ascii="Times New Roman" w:eastAsia="Batang" w:hAnsi="Times New Roman" w:cs="Times New Roman"/>
      <w:i/>
      <w:iCs/>
      <w:sz w:val="24"/>
      <w:szCs w:val="24"/>
      <w:lang w:eastAsia="ko-KR"/>
    </w:rPr>
  </w:style>
  <w:style w:type="character" w:customStyle="1" w:styleId="heading00201char1">
    <w:name w:val="heading_00201__char1"/>
    <w:rsid w:val="00D704BE"/>
    <w:rPr>
      <w:rFonts w:ascii="Arial" w:hAnsi="Arial"/>
      <w:b/>
      <w:color w:val="000000"/>
      <w:sz w:val="32"/>
    </w:rPr>
  </w:style>
  <w:style w:type="character" w:customStyle="1" w:styleId="normalchar1">
    <w:name w:val="normal__char1"/>
    <w:rsid w:val="00D704BE"/>
    <w:rPr>
      <w:rFonts w:ascii="Arial" w:hAnsi="Arial"/>
      <w:sz w:val="22"/>
    </w:rPr>
  </w:style>
  <w:style w:type="paragraph" w:customStyle="1" w:styleId="10">
    <w:name w:val="Βασικό1"/>
    <w:basedOn w:val="a"/>
    <w:rsid w:val="00D704BE"/>
    <w:pPr>
      <w:spacing w:after="200" w:line="260" w:lineRule="atLeast"/>
    </w:pPr>
    <w:rPr>
      <w:rFonts w:ascii="Arial" w:eastAsia="Batang" w:hAnsi="Arial" w:cs="Arial"/>
      <w:lang w:eastAsia="ja-JP"/>
    </w:rPr>
  </w:style>
  <w:style w:type="character" w:styleId="-">
    <w:name w:val="Hyperlink"/>
    <w:basedOn w:val="a0"/>
    <w:uiPriority w:val="99"/>
    <w:rsid w:val="00D704BE"/>
    <w:rPr>
      <w:rFonts w:cs="Times New Roman"/>
      <w:color w:val="0000FF"/>
      <w:u w:val="single"/>
    </w:rPr>
  </w:style>
  <w:style w:type="character" w:customStyle="1" w:styleId="normalchar10">
    <w:name w:val="normalchar1"/>
    <w:basedOn w:val="a0"/>
    <w:rsid w:val="00D704BE"/>
    <w:rPr>
      <w:rFonts w:cs="Times New Roman"/>
    </w:rPr>
  </w:style>
  <w:style w:type="table" w:customStyle="1" w:styleId="11">
    <w:name w:val="Πλέγμα πίνακα1"/>
    <w:basedOn w:val="a1"/>
    <w:next w:val="a3"/>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D7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3"/>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a1"/>
    <w:rsid w:val="00D704BE"/>
    <w:pPr>
      <w:spacing w:after="0" w:line="240" w:lineRule="auto"/>
    </w:pPr>
    <w:rPr>
      <w:rFonts w:ascii="Times New Roman" w:eastAsia="Batang" w:hAnsi="Times New Roman" w:cs="Times New Roman"/>
      <w:color w:val="2E74B5" w:themeColor="accent1" w:themeShade="BF"/>
      <w:lang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0020text0020indent00202char1">
    <w:name w:val="body_0020text_0020indent_00202__char1"/>
    <w:rsid w:val="00632E44"/>
    <w:rPr>
      <w:rFonts w:ascii="Times New Roman" w:hAnsi="Times New Roman"/>
      <w:sz w:val="24"/>
    </w:rPr>
  </w:style>
  <w:style w:type="paragraph" w:customStyle="1" w:styleId="body0020text0020indent00202">
    <w:name w:val="body_0020text_0020indent_00202"/>
    <w:basedOn w:val="a"/>
    <w:rsid w:val="00632E44"/>
    <w:pPr>
      <w:spacing w:after="120" w:line="480" w:lineRule="atLeast"/>
      <w:ind w:left="280"/>
    </w:pPr>
    <w:rPr>
      <w:rFonts w:ascii="Times New Roman" w:eastAsia="Batang" w:hAnsi="Times New Roman" w:cs="Times New Roman"/>
      <w:sz w:val="24"/>
      <w:szCs w:val="24"/>
      <w:lang w:eastAsia="ja-JP"/>
    </w:rPr>
  </w:style>
  <w:style w:type="paragraph" w:styleId="a4">
    <w:name w:val="footnote text"/>
    <w:basedOn w:val="a"/>
    <w:link w:val="Char"/>
    <w:semiHidden/>
    <w:unhideWhenUsed/>
    <w:rsid w:val="00632E44"/>
    <w:pPr>
      <w:spacing w:after="0" w:line="240" w:lineRule="auto"/>
    </w:pPr>
    <w:rPr>
      <w:rFonts w:ascii="Times New Roman" w:eastAsia="Batang" w:hAnsi="Times New Roman" w:cs="Times New Roman"/>
      <w:sz w:val="20"/>
      <w:szCs w:val="20"/>
      <w:lang w:eastAsia="ko-KR"/>
    </w:rPr>
  </w:style>
  <w:style w:type="character" w:customStyle="1" w:styleId="Char">
    <w:name w:val="Κείμενο υποσημείωσης Char"/>
    <w:basedOn w:val="a0"/>
    <w:link w:val="a4"/>
    <w:semiHidden/>
    <w:rsid w:val="00632E44"/>
    <w:rPr>
      <w:rFonts w:ascii="Times New Roman" w:eastAsia="Batang" w:hAnsi="Times New Roman" w:cs="Times New Roman"/>
      <w:sz w:val="20"/>
      <w:szCs w:val="20"/>
      <w:lang w:eastAsia="ko-KR"/>
    </w:rPr>
  </w:style>
  <w:style w:type="character" w:styleId="a5">
    <w:name w:val="footnote reference"/>
    <w:semiHidden/>
    <w:unhideWhenUsed/>
    <w:rsid w:val="00632E44"/>
    <w:rPr>
      <w:vertAlign w:val="superscript"/>
    </w:rPr>
  </w:style>
  <w:style w:type="character" w:customStyle="1" w:styleId="body0020textchar1">
    <w:name w:val="body_0020text__char1"/>
    <w:rsid w:val="00A401AD"/>
    <w:rPr>
      <w:rFonts w:ascii="Arial" w:hAnsi="Arial"/>
      <w:sz w:val="22"/>
    </w:rPr>
  </w:style>
  <w:style w:type="paragraph" w:customStyle="1" w:styleId="body0020text">
    <w:name w:val="body_0020text"/>
    <w:basedOn w:val="a"/>
    <w:rsid w:val="00A401AD"/>
    <w:pPr>
      <w:spacing w:after="120" w:line="260" w:lineRule="atLeast"/>
    </w:pPr>
    <w:rPr>
      <w:rFonts w:ascii="Arial" w:eastAsia="Batang" w:hAnsi="Arial" w:cs="Arial"/>
      <w:lang w:eastAsia="ja-JP"/>
    </w:rPr>
  </w:style>
  <w:style w:type="character" w:customStyle="1" w:styleId="body0020text00203char1">
    <w:name w:val="body_0020text_00203__char1"/>
    <w:rsid w:val="00A401AD"/>
    <w:rPr>
      <w:rFonts w:ascii="Arial" w:hAnsi="Arial"/>
      <w:sz w:val="16"/>
    </w:rPr>
  </w:style>
  <w:style w:type="paragraph" w:customStyle="1" w:styleId="body0020text00203">
    <w:name w:val="body_0020text_00203"/>
    <w:basedOn w:val="a"/>
    <w:rsid w:val="00A401AD"/>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rsid w:val="00A401AD"/>
    <w:rPr>
      <w:rFonts w:ascii="Times New Roman" w:hAnsi="Times New Roman"/>
      <w:sz w:val="24"/>
    </w:rPr>
  </w:style>
  <w:style w:type="paragraph" w:customStyle="1" w:styleId="normal00200028web0029">
    <w:name w:val="normal_0020_0028web_0029"/>
    <w:basedOn w:val="a"/>
    <w:rsid w:val="00A401AD"/>
    <w:pPr>
      <w:spacing w:before="100" w:after="100" w:line="240" w:lineRule="atLeast"/>
    </w:pPr>
    <w:rPr>
      <w:rFonts w:ascii="Times New Roman" w:eastAsia="Batang" w:hAnsi="Times New Roman" w:cs="Times New Roman"/>
      <w:sz w:val="24"/>
      <w:szCs w:val="24"/>
      <w:lang w:eastAsia="ja-JP"/>
    </w:rPr>
  </w:style>
  <w:style w:type="paragraph" w:customStyle="1" w:styleId="list0020paragraph">
    <w:name w:val="list_0020paragraph"/>
    <w:basedOn w:val="a"/>
    <w:rsid w:val="00A401AD"/>
    <w:pPr>
      <w:spacing w:after="0" w:line="240" w:lineRule="atLeast"/>
      <w:ind w:left="720"/>
    </w:pPr>
    <w:rPr>
      <w:rFonts w:ascii="Times New Roman" w:eastAsia="Batang" w:hAnsi="Times New Roman" w:cs="Times New Roman"/>
      <w:sz w:val="24"/>
      <w:szCs w:val="24"/>
      <w:lang w:eastAsia="ja-JP"/>
    </w:rPr>
  </w:style>
  <w:style w:type="paragraph" w:styleId="a6">
    <w:name w:val="Body Text Indent"/>
    <w:basedOn w:val="a"/>
    <w:link w:val="Char0"/>
    <w:rsid w:val="00A401AD"/>
    <w:pPr>
      <w:spacing w:after="0" w:line="240" w:lineRule="auto"/>
      <w:ind w:left="851"/>
    </w:pPr>
    <w:rPr>
      <w:rFonts w:ascii="Arial" w:eastAsia="Batang" w:hAnsi="Arial" w:cs="Arial"/>
      <w:szCs w:val="24"/>
      <w:lang w:eastAsia="el-GR"/>
    </w:rPr>
  </w:style>
  <w:style w:type="character" w:customStyle="1" w:styleId="Char0">
    <w:name w:val="Σώμα κείμενου με εσοχή Char"/>
    <w:basedOn w:val="a0"/>
    <w:link w:val="a6"/>
    <w:rsid w:val="00A401AD"/>
    <w:rPr>
      <w:rFonts w:ascii="Arial" w:eastAsia="Batang" w:hAnsi="Arial" w:cs="Arial"/>
      <w:szCs w:val="24"/>
      <w:lang w:eastAsia="el-GR"/>
    </w:rPr>
  </w:style>
  <w:style w:type="paragraph" w:styleId="a7">
    <w:name w:val="Title"/>
    <w:basedOn w:val="a"/>
    <w:link w:val="Char1"/>
    <w:qFormat/>
    <w:rsid w:val="00A401AD"/>
    <w:pPr>
      <w:spacing w:after="0" w:line="240" w:lineRule="auto"/>
      <w:jc w:val="center"/>
    </w:pPr>
    <w:rPr>
      <w:rFonts w:ascii="Times New Roman" w:eastAsia="Batang" w:hAnsi="Times New Roman" w:cs="Times New Roman"/>
      <w:b/>
      <w:sz w:val="32"/>
      <w:szCs w:val="20"/>
      <w:lang w:eastAsia="el-GR"/>
    </w:rPr>
  </w:style>
  <w:style w:type="character" w:customStyle="1" w:styleId="Char1">
    <w:name w:val="Τίτλος Char"/>
    <w:basedOn w:val="a0"/>
    <w:link w:val="a7"/>
    <w:rsid w:val="00A401AD"/>
    <w:rPr>
      <w:rFonts w:ascii="Times New Roman" w:eastAsia="Batang" w:hAnsi="Times New Roman" w:cs="Times New Roman"/>
      <w:b/>
      <w:sz w:val="32"/>
      <w:szCs w:val="20"/>
      <w:lang w:eastAsia="el-GR"/>
    </w:rPr>
  </w:style>
  <w:style w:type="paragraph" w:styleId="a8">
    <w:name w:val="header"/>
    <w:basedOn w:val="a"/>
    <w:link w:val="Char2"/>
    <w:rsid w:val="00A401AD"/>
    <w:pPr>
      <w:tabs>
        <w:tab w:val="center" w:pos="4153"/>
        <w:tab w:val="right" w:pos="8306"/>
      </w:tabs>
      <w:spacing w:after="0" w:line="240" w:lineRule="auto"/>
    </w:pPr>
    <w:rPr>
      <w:rFonts w:ascii="Times New Roman" w:eastAsia="Batang" w:hAnsi="Times New Roman" w:cs="Times New Roman"/>
      <w:sz w:val="24"/>
      <w:szCs w:val="24"/>
      <w:lang w:eastAsia="el-GR"/>
    </w:rPr>
  </w:style>
  <w:style w:type="character" w:customStyle="1" w:styleId="Char2">
    <w:name w:val="Κεφαλίδα Char"/>
    <w:basedOn w:val="a0"/>
    <w:link w:val="a8"/>
    <w:rsid w:val="00A401AD"/>
    <w:rPr>
      <w:rFonts w:ascii="Times New Roman" w:eastAsia="Batang" w:hAnsi="Times New Roman" w:cs="Times New Roman"/>
      <w:sz w:val="24"/>
      <w:szCs w:val="24"/>
      <w:lang w:eastAsia="el-GR"/>
    </w:rPr>
  </w:style>
  <w:style w:type="paragraph" w:styleId="a9">
    <w:name w:val="footer"/>
    <w:basedOn w:val="a"/>
    <w:link w:val="Char3"/>
    <w:rsid w:val="00A401AD"/>
    <w:pPr>
      <w:tabs>
        <w:tab w:val="center" w:pos="4153"/>
        <w:tab w:val="right" w:pos="8306"/>
      </w:tabs>
      <w:spacing w:after="0" w:line="240" w:lineRule="auto"/>
    </w:pPr>
    <w:rPr>
      <w:rFonts w:ascii="Times New Roman" w:eastAsia="Batang" w:hAnsi="Times New Roman" w:cs="Times New Roman"/>
      <w:sz w:val="24"/>
      <w:szCs w:val="24"/>
      <w:lang w:eastAsia="ko-KR"/>
    </w:rPr>
  </w:style>
  <w:style w:type="character" w:customStyle="1" w:styleId="Char3">
    <w:name w:val="Υποσέλιδο Char"/>
    <w:basedOn w:val="a0"/>
    <w:link w:val="a9"/>
    <w:rsid w:val="00A401AD"/>
    <w:rPr>
      <w:rFonts w:ascii="Times New Roman" w:eastAsia="Batang" w:hAnsi="Times New Roman" w:cs="Times New Roman"/>
      <w:sz w:val="24"/>
      <w:szCs w:val="24"/>
      <w:lang w:eastAsia="ko-KR"/>
    </w:rPr>
  </w:style>
  <w:style w:type="character" w:styleId="aa">
    <w:name w:val="page number"/>
    <w:basedOn w:val="a0"/>
    <w:rsid w:val="00A401AD"/>
    <w:rPr>
      <w:rFonts w:cs="Times New Roman"/>
    </w:rPr>
  </w:style>
  <w:style w:type="character" w:customStyle="1" w:styleId="Char4">
    <w:name w:val="Κείμενο πλαισίου Char"/>
    <w:basedOn w:val="a0"/>
    <w:link w:val="ab"/>
    <w:semiHidden/>
    <w:rsid w:val="00A401AD"/>
    <w:rPr>
      <w:rFonts w:ascii="Tahoma" w:eastAsia="Batang" w:hAnsi="Tahoma" w:cs="Tahoma"/>
      <w:sz w:val="16"/>
      <w:szCs w:val="16"/>
      <w:lang w:eastAsia="ko-KR"/>
    </w:rPr>
  </w:style>
  <w:style w:type="paragraph" w:styleId="ab">
    <w:name w:val="Balloon Text"/>
    <w:basedOn w:val="a"/>
    <w:link w:val="Char4"/>
    <w:semiHidden/>
    <w:rsid w:val="00A401AD"/>
    <w:pPr>
      <w:spacing w:after="0" w:line="240" w:lineRule="auto"/>
    </w:pPr>
    <w:rPr>
      <w:rFonts w:ascii="Tahoma" w:eastAsia="Batang" w:hAnsi="Tahoma" w:cs="Tahoma"/>
      <w:sz w:val="16"/>
      <w:szCs w:val="16"/>
      <w:lang w:eastAsia="ko-KR"/>
    </w:rPr>
  </w:style>
  <w:style w:type="paragraph" w:styleId="ac">
    <w:name w:val="Body Text"/>
    <w:basedOn w:val="a"/>
    <w:link w:val="Char5"/>
    <w:rsid w:val="00A401AD"/>
    <w:pPr>
      <w:spacing w:after="120" w:line="240" w:lineRule="auto"/>
    </w:pPr>
    <w:rPr>
      <w:rFonts w:ascii="Times New Roman" w:eastAsia="Batang" w:hAnsi="Times New Roman" w:cs="Times New Roman"/>
      <w:sz w:val="24"/>
      <w:szCs w:val="24"/>
      <w:lang w:eastAsia="el-GR"/>
    </w:rPr>
  </w:style>
  <w:style w:type="character" w:customStyle="1" w:styleId="Char5">
    <w:name w:val="Σώμα κειμένου Char"/>
    <w:basedOn w:val="a0"/>
    <w:link w:val="ac"/>
    <w:rsid w:val="00A401AD"/>
    <w:rPr>
      <w:rFonts w:ascii="Times New Roman" w:eastAsia="Batang" w:hAnsi="Times New Roman" w:cs="Times New Roman"/>
      <w:sz w:val="24"/>
      <w:szCs w:val="24"/>
      <w:lang w:eastAsia="el-GR"/>
    </w:rPr>
  </w:style>
  <w:style w:type="character" w:styleId="ad">
    <w:name w:val="Strong"/>
    <w:basedOn w:val="a0"/>
    <w:qFormat/>
    <w:rsid w:val="00A401AD"/>
    <w:rPr>
      <w:rFonts w:cs="Times New Roman"/>
      <w:b/>
    </w:rPr>
  </w:style>
  <w:style w:type="paragraph" w:styleId="ae">
    <w:name w:val="annotation text"/>
    <w:basedOn w:val="a"/>
    <w:link w:val="Char6"/>
    <w:rsid w:val="00A401AD"/>
    <w:pPr>
      <w:spacing w:after="0" w:line="240" w:lineRule="auto"/>
    </w:pPr>
    <w:rPr>
      <w:rFonts w:ascii="Times New Roman" w:eastAsia="Batang" w:hAnsi="Times New Roman" w:cs="Times New Roman"/>
      <w:sz w:val="20"/>
      <w:szCs w:val="20"/>
      <w:lang w:eastAsia="ko-KR"/>
    </w:rPr>
  </w:style>
  <w:style w:type="character" w:customStyle="1" w:styleId="Char6">
    <w:name w:val="Κείμενο σχολίου Char"/>
    <w:basedOn w:val="a0"/>
    <w:link w:val="ae"/>
    <w:rsid w:val="00A401AD"/>
    <w:rPr>
      <w:rFonts w:ascii="Times New Roman" w:eastAsia="Batang" w:hAnsi="Times New Roman" w:cs="Times New Roman"/>
      <w:sz w:val="20"/>
      <w:szCs w:val="20"/>
      <w:lang w:eastAsia="ko-KR"/>
    </w:rPr>
  </w:style>
  <w:style w:type="paragraph" w:styleId="21">
    <w:name w:val="Body Text 2"/>
    <w:basedOn w:val="a"/>
    <w:link w:val="2Char0"/>
    <w:rsid w:val="00A401AD"/>
    <w:pPr>
      <w:spacing w:after="120" w:line="480" w:lineRule="auto"/>
    </w:pPr>
    <w:rPr>
      <w:rFonts w:ascii="Times New Roman" w:eastAsia="Batang" w:hAnsi="Times New Roman" w:cs="Times New Roman"/>
      <w:sz w:val="24"/>
      <w:szCs w:val="24"/>
      <w:lang w:eastAsia="ko-KR"/>
    </w:rPr>
  </w:style>
  <w:style w:type="character" w:customStyle="1" w:styleId="2Char0">
    <w:name w:val="Σώμα κείμενου 2 Char"/>
    <w:basedOn w:val="a0"/>
    <w:link w:val="21"/>
    <w:rsid w:val="00A401AD"/>
    <w:rPr>
      <w:rFonts w:ascii="Times New Roman" w:eastAsia="Batang" w:hAnsi="Times New Roman" w:cs="Times New Roman"/>
      <w:sz w:val="24"/>
      <w:szCs w:val="24"/>
      <w:lang w:eastAsia="ko-KR"/>
    </w:rPr>
  </w:style>
  <w:style w:type="character" w:styleId="af">
    <w:name w:val="Subtle Emphasis"/>
    <w:basedOn w:val="a0"/>
    <w:qFormat/>
    <w:rsid w:val="00A401AD"/>
    <w:rPr>
      <w:i/>
      <w:iCs/>
      <w:color w:val="808080" w:themeColor="text1" w:themeTint="7F"/>
    </w:rPr>
  </w:style>
  <w:style w:type="paragraph" w:styleId="af0">
    <w:name w:val="annotation subject"/>
    <w:basedOn w:val="ae"/>
    <w:next w:val="ae"/>
    <w:link w:val="Char7"/>
    <w:semiHidden/>
    <w:unhideWhenUsed/>
    <w:rsid w:val="00A401AD"/>
    <w:rPr>
      <w:b/>
      <w:bCs/>
    </w:rPr>
  </w:style>
  <w:style w:type="character" w:customStyle="1" w:styleId="Char7">
    <w:name w:val="Θέμα σχολίου Char"/>
    <w:basedOn w:val="Char6"/>
    <w:link w:val="af0"/>
    <w:semiHidden/>
    <w:rsid w:val="00A401AD"/>
    <w:rPr>
      <w:rFonts w:ascii="Times New Roman" w:eastAsia="Batang" w:hAnsi="Times New Roman" w:cs="Times New Roman"/>
      <w:b/>
      <w:bCs/>
      <w:sz w:val="20"/>
      <w:szCs w:val="20"/>
      <w:lang w:eastAsia="ko-KR"/>
    </w:rPr>
  </w:style>
  <w:style w:type="paragraph" w:styleId="af1">
    <w:name w:val="List Paragraph"/>
    <w:basedOn w:val="a"/>
    <w:qFormat/>
    <w:rsid w:val="00A401AD"/>
    <w:pPr>
      <w:spacing w:after="0" w:line="240" w:lineRule="auto"/>
      <w:ind w:left="720"/>
      <w:contextualSpacing/>
    </w:pPr>
    <w:rPr>
      <w:rFonts w:ascii="Times New Roman" w:eastAsia="Batang" w:hAnsi="Times New Roman" w:cs="Times New Roman"/>
      <w:sz w:val="24"/>
      <w:szCs w:val="24"/>
      <w:lang w:eastAsia="ko-KR"/>
    </w:rPr>
  </w:style>
  <w:style w:type="paragraph" w:styleId="Web">
    <w:name w:val="Normal (Web)"/>
    <w:basedOn w:val="a"/>
    <w:semiHidden/>
    <w:unhideWhenUsed/>
    <w:rsid w:val="00A401A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2">
    <w:name w:val="Placeholder Text"/>
    <w:basedOn w:val="a0"/>
    <w:semiHidden/>
    <w:rsid w:val="00C16E33"/>
    <w:rPr>
      <w:color w:val="808080"/>
    </w:rPr>
  </w:style>
  <w:style w:type="character" w:styleId="af3">
    <w:name w:val="annotation reference"/>
    <w:basedOn w:val="a0"/>
    <w:semiHidden/>
    <w:unhideWhenUsed/>
    <w:rsid w:val="00B3225E"/>
    <w:rPr>
      <w:sz w:val="16"/>
      <w:szCs w:val="16"/>
    </w:rPr>
  </w:style>
  <w:style w:type="paragraph" w:styleId="af4">
    <w:name w:val="No Spacing"/>
    <w:link w:val="Char8"/>
    <w:qFormat/>
    <w:rsid w:val="004E79AC"/>
    <w:pPr>
      <w:spacing w:after="0" w:line="240" w:lineRule="auto"/>
    </w:pPr>
    <w:rPr>
      <w:rFonts w:eastAsiaTheme="minorEastAsia"/>
      <w:lang w:eastAsia="el-GR"/>
    </w:rPr>
  </w:style>
  <w:style w:type="character" w:customStyle="1" w:styleId="Char8">
    <w:name w:val="Χωρίς διάστιχο Char"/>
    <w:basedOn w:val="a0"/>
    <w:link w:val="af4"/>
    <w:rsid w:val="004E79AC"/>
    <w:rPr>
      <w:rFonts w:eastAsiaTheme="minorEastAsia"/>
      <w:lang w:eastAsia="el-GR"/>
    </w:rPr>
  </w:style>
  <w:style w:type="character" w:customStyle="1" w:styleId="22">
    <w:name w:val="Σώμα κειμένου (2)"/>
    <w:basedOn w:val="a0"/>
    <w:rsid w:val="00E844E4"/>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0">
    <w:name w:val="Σώμα κειμένου (5)_"/>
    <w:basedOn w:val="a0"/>
    <w:rsid w:val="0015766D"/>
    <w:rPr>
      <w:rFonts w:ascii="Arial" w:eastAsia="Arial" w:hAnsi="Arial" w:cs="Arial"/>
      <w:b/>
      <w:bCs/>
      <w:i w:val="0"/>
      <w:iCs w:val="0"/>
      <w:smallCaps w:val="0"/>
      <w:strike w:val="0"/>
      <w:sz w:val="20"/>
      <w:szCs w:val="20"/>
      <w:u w:val="none"/>
    </w:rPr>
  </w:style>
  <w:style w:type="character" w:customStyle="1" w:styleId="51">
    <w:name w:val="Σώμα κειμένου (5)"/>
    <w:basedOn w:val="50"/>
    <w:rsid w:val="0015766D"/>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3">
    <w:name w:val="Σώμα κειμένου (2)_"/>
    <w:basedOn w:val="a0"/>
    <w:rsid w:val="0015766D"/>
    <w:rPr>
      <w:rFonts w:ascii="Arial" w:eastAsia="Arial" w:hAnsi="Arial" w:cs="Arial"/>
      <w:b/>
      <w:bCs/>
      <w:i w:val="0"/>
      <w:iCs w:val="0"/>
      <w:smallCaps w:val="0"/>
      <w:strike w:val="0"/>
      <w:sz w:val="16"/>
      <w:szCs w:val="16"/>
      <w:u w:val="none"/>
    </w:rPr>
  </w:style>
  <w:style w:type="paragraph" w:customStyle="1" w:styleId="Default">
    <w:name w:val="Default"/>
    <w:rsid w:val="00B13823"/>
    <w:pPr>
      <w:autoSpaceDE w:val="0"/>
      <w:autoSpaceDN w:val="0"/>
      <w:adjustRightInd w:val="0"/>
      <w:spacing w:after="0" w:line="240" w:lineRule="auto"/>
    </w:pPr>
    <w:rPr>
      <w:rFonts w:ascii="Arial" w:hAnsi="Arial" w:cs="Arial"/>
      <w:color w:val="000000"/>
      <w:sz w:val="24"/>
      <w:szCs w:val="24"/>
      <w:lang w:val="en-US"/>
    </w:rPr>
  </w:style>
  <w:style w:type="paragraph" w:styleId="af5">
    <w:name w:val="endnote text"/>
    <w:basedOn w:val="a"/>
    <w:link w:val="Char9"/>
    <w:semiHidden/>
    <w:unhideWhenUsed/>
    <w:rsid w:val="00BB61DB"/>
    <w:pPr>
      <w:spacing w:after="0" w:line="240" w:lineRule="auto"/>
    </w:pPr>
    <w:rPr>
      <w:sz w:val="20"/>
      <w:szCs w:val="20"/>
    </w:rPr>
  </w:style>
  <w:style w:type="character" w:customStyle="1" w:styleId="Char9">
    <w:name w:val="Κείμενο σημείωσης τέλους Char"/>
    <w:basedOn w:val="a0"/>
    <w:link w:val="af5"/>
    <w:semiHidden/>
    <w:rsid w:val="00BB61DB"/>
    <w:rPr>
      <w:sz w:val="20"/>
      <w:szCs w:val="20"/>
    </w:rPr>
  </w:style>
  <w:style w:type="character" w:styleId="af6">
    <w:name w:val="endnote reference"/>
    <w:basedOn w:val="a0"/>
    <w:semiHidden/>
    <w:unhideWhenUsed/>
    <w:rsid w:val="00BB61DB"/>
    <w:rPr>
      <w:vertAlign w:val="superscript"/>
    </w:rPr>
  </w:style>
  <w:style w:type="paragraph" w:styleId="af7">
    <w:name w:val="TOC Heading"/>
    <w:basedOn w:val="1"/>
    <w:next w:val="a"/>
    <w:uiPriority w:val="39"/>
    <w:unhideWhenUsed/>
    <w:qFormat/>
    <w:rsid w:val="000754A1"/>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eastAsia="el-GR"/>
    </w:rPr>
  </w:style>
  <w:style w:type="paragraph" w:styleId="24">
    <w:name w:val="toc 2"/>
    <w:basedOn w:val="a"/>
    <w:next w:val="a"/>
    <w:autoRedefine/>
    <w:uiPriority w:val="39"/>
    <w:unhideWhenUsed/>
    <w:rsid w:val="000754A1"/>
    <w:pPr>
      <w:spacing w:after="100"/>
      <w:ind w:left="220"/>
    </w:pPr>
  </w:style>
  <w:style w:type="table" w:customStyle="1" w:styleId="30">
    <w:name w:val="Πλέγμα πίνακα3"/>
    <w:basedOn w:val="a1"/>
    <w:next w:val="a3"/>
    <w:rsid w:val="00F9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A41DE0"/>
    <w:rPr>
      <w:rFonts w:ascii="Calibri" w:eastAsiaTheme="majorEastAsia" w:hAnsi="Calibri" w:cstheme="majorBidi"/>
      <w:b/>
      <w:color w:val="0070C0"/>
      <w:sz w:val="24"/>
      <w:szCs w:val="24"/>
    </w:rPr>
  </w:style>
  <w:style w:type="paragraph" w:styleId="31">
    <w:name w:val="toc 3"/>
    <w:basedOn w:val="a"/>
    <w:next w:val="a"/>
    <w:autoRedefine/>
    <w:unhideWhenUsed/>
    <w:rsid w:val="00A41DE0"/>
    <w:pPr>
      <w:spacing w:after="100"/>
      <w:ind w:left="440"/>
    </w:pPr>
  </w:style>
  <w:style w:type="character" w:customStyle="1" w:styleId="12">
    <w:name w:val="Ανεπίλυτη αναφορά1"/>
    <w:basedOn w:val="a0"/>
    <w:uiPriority w:val="99"/>
    <w:semiHidden/>
    <w:unhideWhenUsed/>
    <w:rsid w:val="005A51E9"/>
    <w:rPr>
      <w:color w:val="605E5C"/>
      <w:shd w:val="clear" w:color="auto" w:fill="E1DFDD"/>
    </w:rPr>
  </w:style>
  <w:style w:type="table" w:styleId="4-1">
    <w:name w:val="Grid Table 4 Accent 1"/>
    <w:basedOn w:val="a1"/>
    <w:rsid w:val="003B62A7"/>
    <w:pPr>
      <w:spacing w:after="0" w:line="240" w:lineRule="auto"/>
    </w:pPr>
    <w:rPr>
      <w:rFonts w:eastAsiaTheme="minorEastAsia"/>
      <w:lang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4Char">
    <w:name w:val="Επικεφαλίδα 4 Char"/>
    <w:basedOn w:val="a0"/>
    <w:link w:val="4"/>
    <w:rsid w:val="00394EF8"/>
    <w:rPr>
      <w:rFonts w:eastAsiaTheme="minorEastAsia"/>
      <w:caps/>
      <w:color w:val="2E74B5" w:themeColor="accent1" w:themeShade="BF"/>
      <w:spacing w:val="10"/>
      <w:sz w:val="20"/>
      <w:szCs w:val="20"/>
      <w:lang w:val="en-US"/>
    </w:rPr>
  </w:style>
  <w:style w:type="character" w:customStyle="1" w:styleId="6Char">
    <w:name w:val="Επικεφαλίδα 6 Char"/>
    <w:basedOn w:val="a0"/>
    <w:link w:val="6"/>
    <w:semiHidden/>
    <w:rsid w:val="00394EF8"/>
    <w:rPr>
      <w:rFonts w:eastAsiaTheme="minorEastAsia"/>
      <w:caps/>
      <w:color w:val="2E74B5" w:themeColor="accent1" w:themeShade="BF"/>
      <w:spacing w:val="10"/>
      <w:sz w:val="20"/>
      <w:szCs w:val="20"/>
      <w:lang w:val="en-US"/>
    </w:rPr>
  </w:style>
  <w:style w:type="character" w:customStyle="1" w:styleId="9Char">
    <w:name w:val="Επικεφαλίδα 9 Char"/>
    <w:basedOn w:val="a0"/>
    <w:link w:val="9"/>
    <w:semiHidden/>
    <w:rsid w:val="00394EF8"/>
    <w:rPr>
      <w:rFonts w:eastAsiaTheme="minorEastAsia"/>
      <w:i/>
      <w:iCs/>
      <w:caps/>
      <w:spacing w:val="10"/>
      <w:sz w:val="18"/>
      <w:szCs w:val="18"/>
      <w:lang w:val="en-US"/>
    </w:rPr>
  </w:style>
  <w:style w:type="paragraph" w:styleId="13">
    <w:name w:val="toc 1"/>
    <w:basedOn w:val="a"/>
    <w:next w:val="a"/>
    <w:autoRedefine/>
    <w:unhideWhenUsed/>
    <w:rsid w:val="00394EF8"/>
    <w:pPr>
      <w:spacing w:before="100" w:after="100" w:line="276" w:lineRule="auto"/>
      <w:jc w:val="left"/>
    </w:pPr>
    <w:rPr>
      <w:rFonts w:eastAsiaTheme="minorEastAsia"/>
      <w:sz w:val="20"/>
      <w:szCs w:val="20"/>
      <w:lang w:val="en-US"/>
    </w:rPr>
  </w:style>
  <w:style w:type="character" w:styleId="af8">
    <w:name w:val="Intense Reference"/>
    <w:qFormat/>
    <w:rsid w:val="00394EF8"/>
    <w:rPr>
      <w:b/>
      <w:bCs/>
      <w:i/>
      <w:iCs/>
      <w:caps/>
      <w:color w:val="5B9BD5" w:themeColor="accent1"/>
    </w:rPr>
  </w:style>
  <w:style w:type="paragraph" w:styleId="af9">
    <w:name w:val="caption"/>
    <w:basedOn w:val="a"/>
    <w:next w:val="a"/>
    <w:unhideWhenUsed/>
    <w:qFormat/>
    <w:rsid w:val="00394EF8"/>
    <w:pPr>
      <w:spacing w:before="100" w:after="200" w:line="276" w:lineRule="auto"/>
      <w:jc w:val="left"/>
    </w:pPr>
    <w:rPr>
      <w:rFonts w:eastAsiaTheme="minorEastAsia"/>
      <w:b/>
      <w:bCs/>
      <w:color w:val="2E74B5" w:themeColor="accent1" w:themeShade="BF"/>
      <w:sz w:val="16"/>
      <w:szCs w:val="16"/>
      <w:lang w:val="en-US"/>
    </w:rPr>
  </w:style>
  <w:style w:type="paragraph" w:styleId="afa">
    <w:name w:val="table of figures"/>
    <w:basedOn w:val="a"/>
    <w:next w:val="a"/>
    <w:unhideWhenUsed/>
    <w:rsid w:val="00394EF8"/>
    <w:pPr>
      <w:spacing w:before="100" w:after="0" w:line="276" w:lineRule="auto"/>
      <w:jc w:val="left"/>
    </w:pPr>
    <w:rPr>
      <w:rFonts w:eastAsiaTheme="minorEastAsia"/>
      <w:sz w:val="20"/>
      <w:szCs w:val="20"/>
      <w:lang w:val="en-US"/>
    </w:rPr>
  </w:style>
  <w:style w:type="paragraph" w:customStyle="1" w:styleId="Header1">
    <w:name w:val="Header 1"/>
    <w:basedOn w:val="a"/>
    <w:next w:val="a"/>
    <w:autoRedefine/>
    <w:rsid w:val="00394EF8"/>
    <w:pPr>
      <w:spacing w:before="120" w:after="0" w:line="240" w:lineRule="auto"/>
      <w:ind w:right="29" w:firstLine="720"/>
      <w:jc w:val="left"/>
    </w:pPr>
    <w:rPr>
      <w:rFonts w:ascii="Times New Roman" w:eastAsia="Times New Roman" w:hAnsi="Times New Roman" w:cs="Times New Roman"/>
      <w:b/>
      <w:bCs/>
      <w:snapToGrid w:val="0"/>
      <w:sz w:val="24"/>
      <w:szCs w:val="24"/>
      <w:lang w:val="en-GB"/>
    </w:rPr>
  </w:style>
  <w:style w:type="paragraph" w:styleId="afb">
    <w:name w:val="Note Heading"/>
    <w:basedOn w:val="a"/>
    <w:next w:val="a"/>
    <w:link w:val="Chara"/>
    <w:semiHidden/>
    <w:rsid w:val="00394E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pPr>
    <w:rPr>
      <w:rFonts w:ascii="Times New Roman" w:eastAsia="Times New Roman" w:hAnsi="Times New Roman" w:cs="Times New Roman"/>
      <w:sz w:val="24"/>
      <w:szCs w:val="20"/>
      <w:lang w:val="en-GB"/>
    </w:rPr>
  </w:style>
  <w:style w:type="character" w:customStyle="1" w:styleId="Chara">
    <w:name w:val="Επικεφαλίδα σημείωσης Char"/>
    <w:basedOn w:val="a0"/>
    <w:link w:val="afb"/>
    <w:semiHidden/>
    <w:rsid w:val="00394EF8"/>
    <w:rPr>
      <w:rFonts w:ascii="Times New Roman" w:eastAsia="Times New Roman" w:hAnsi="Times New Roman" w:cs="Times New Roman"/>
      <w:sz w:val="24"/>
      <w:szCs w:val="20"/>
      <w:lang w:val="en-GB"/>
    </w:rPr>
  </w:style>
  <w:style w:type="paragraph" w:customStyle="1" w:styleId="NormalTable">
    <w:name w:val="NormalTable"/>
    <w:basedOn w:val="a"/>
    <w:rsid w:val="00394EF8"/>
    <w:pPr>
      <w:spacing w:before="100" w:after="0" w:line="240" w:lineRule="auto"/>
      <w:jc w:val="left"/>
    </w:pPr>
    <w:rPr>
      <w:rFonts w:ascii="Times New Roman" w:eastAsia="Times New Roman" w:hAnsi="Times New Roman" w:cs="Times New Roman"/>
      <w:sz w:val="20"/>
      <w:szCs w:val="24"/>
      <w:lang w:val="en-GB"/>
    </w:rPr>
  </w:style>
  <w:style w:type="paragraph" w:styleId="afc">
    <w:name w:val="Subtitle"/>
    <w:basedOn w:val="a"/>
    <w:next w:val="a"/>
    <w:link w:val="Charb"/>
    <w:qFormat/>
    <w:rsid w:val="00394EF8"/>
    <w:pPr>
      <w:spacing w:after="500" w:line="240" w:lineRule="auto"/>
      <w:jc w:val="left"/>
    </w:pPr>
    <w:rPr>
      <w:rFonts w:eastAsiaTheme="minorEastAsia"/>
      <w:caps/>
      <w:color w:val="595959" w:themeColor="text1" w:themeTint="A6"/>
      <w:spacing w:val="10"/>
      <w:sz w:val="21"/>
      <w:szCs w:val="21"/>
      <w:lang w:val="en-US"/>
    </w:rPr>
  </w:style>
  <w:style w:type="character" w:customStyle="1" w:styleId="Charb">
    <w:name w:val="Υπότιτλος Char"/>
    <w:basedOn w:val="a0"/>
    <w:link w:val="afc"/>
    <w:rsid w:val="00394EF8"/>
    <w:rPr>
      <w:rFonts w:eastAsiaTheme="minorEastAsia"/>
      <w:caps/>
      <w:color w:val="595959" w:themeColor="text1" w:themeTint="A6"/>
      <w:spacing w:val="10"/>
      <w:sz w:val="21"/>
      <w:szCs w:val="21"/>
      <w:lang w:val="en-US"/>
    </w:rPr>
  </w:style>
  <w:style w:type="paragraph" w:styleId="40">
    <w:name w:val="toc 4"/>
    <w:basedOn w:val="a"/>
    <w:next w:val="a"/>
    <w:autoRedefine/>
    <w:unhideWhenUsed/>
    <w:rsid w:val="00394EF8"/>
    <w:pPr>
      <w:spacing w:before="100" w:after="100" w:line="276" w:lineRule="auto"/>
      <w:ind w:left="660"/>
      <w:jc w:val="left"/>
    </w:pPr>
    <w:rPr>
      <w:rFonts w:eastAsiaTheme="minorEastAsia"/>
      <w:sz w:val="20"/>
      <w:szCs w:val="20"/>
      <w:lang w:val="en-US"/>
    </w:rPr>
  </w:style>
  <w:style w:type="paragraph" w:styleId="52">
    <w:name w:val="toc 5"/>
    <w:basedOn w:val="a"/>
    <w:next w:val="a"/>
    <w:autoRedefine/>
    <w:unhideWhenUsed/>
    <w:rsid w:val="00394EF8"/>
    <w:pPr>
      <w:spacing w:before="100" w:after="100" w:line="276" w:lineRule="auto"/>
      <w:ind w:left="880"/>
      <w:jc w:val="left"/>
    </w:pPr>
    <w:rPr>
      <w:rFonts w:eastAsiaTheme="minorEastAsia"/>
      <w:sz w:val="20"/>
      <w:szCs w:val="20"/>
      <w:lang w:val="en-US"/>
    </w:rPr>
  </w:style>
  <w:style w:type="paragraph" w:styleId="60">
    <w:name w:val="toc 6"/>
    <w:basedOn w:val="a"/>
    <w:next w:val="a"/>
    <w:autoRedefine/>
    <w:unhideWhenUsed/>
    <w:rsid w:val="00394EF8"/>
    <w:pPr>
      <w:spacing w:before="100" w:after="100" w:line="276" w:lineRule="auto"/>
      <w:ind w:left="1100"/>
      <w:jc w:val="left"/>
    </w:pPr>
    <w:rPr>
      <w:rFonts w:eastAsiaTheme="minorEastAsia"/>
      <w:sz w:val="20"/>
      <w:szCs w:val="20"/>
      <w:lang w:val="en-US"/>
    </w:rPr>
  </w:style>
  <w:style w:type="paragraph" w:styleId="70">
    <w:name w:val="toc 7"/>
    <w:basedOn w:val="a"/>
    <w:next w:val="a"/>
    <w:autoRedefine/>
    <w:unhideWhenUsed/>
    <w:rsid w:val="00394EF8"/>
    <w:pPr>
      <w:spacing w:before="100" w:after="100" w:line="276" w:lineRule="auto"/>
      <w:ind w:left="1320"/>
      <w:jc w:val="left"/>
    </w:pPr>
    <w:rPr>
      <w:rFonts w:eastAsiaTheme="minorEastAsia"/>
      <w:sz w:val="20"/>
      <w:szCs w:val="20"/>
      <w:lang w:val="en-US"/>
    </w:rPr>
  </w:style>
  <w:style w:type="paragraph" w:styleId="80">
    <w:name w:val="toc 8"/>
    <w:basedOn w:val="a"/>
    <w:next w:val="a"/>
    <w:autoRedefine/>
    <w:unhideWhenUsed/>
    <w:rsid w:val="00394EF8"/>
    <w:pPr>
      <w:spacing w:before="100" w:after="100" w:line="276" w:lineRule="auto"/>
      <w:ind w:left="1540"/>
      <w:jc w:val="left"/>
    </w:pPr>
    <w:rPr>
      <w:rFonts w:eastAsiaTheme="minorEastAsia"/>
      <w:sz w:val="20"/>
      <w:szCs w:val="20"/>
      <w:lang w:val="en-US"/>
    </w:rPr>
  </w:style>
  <w:style w:type="paragraph" w:styleId="90">
    <w:name w:val="toc 9"/>
    <w:basedOn w:val="a"/>
    <w:next w:val="a"/>
    <w:autoRedefine/>
    <w:unhideWhenUsed/>
    <w:rsid w:val="00394EF8"/>
    <w:pPr>
      <w:spacing w:before="100" w:after="100" w:line="276" w:lineRule="auto"/>
      <w:ind w:left="1760"/>
      <w:jc w:val="left"/>
    </w:pPr>
    <w:rPr>
      <w:rFonts w:eastAsiaTheme="minorEastAsia"/>
      <w:sz w:val="20"/>
      <w:szCs w:val="20"/>
      <w:lang w:val="en-US"/>
    </w:rPr>
  </w:style>
  <w:style w:type="character" w:customStyle="1" w:styleId="UnresolvedMention1">
    <w:name w:val="Unresolved Mention1"/>
    <w:basedOn w:val="a0"/>
    <w:unhideWhenUsed/>
    <w:rsid w:val="00394EF8"/>
    <w:rPr>
      <w:color w:val="605E5C"/>
      <w:shd w:val="clear" w:color="auto" w:fill="E1DFDD"/>
    </w:rPr>
  </w:style>
  <w:style w:type="character" w:styleId="afd">
    <w:name w:val="Emphasis"/>
    <w:qFormat/>
    <w:rsid w:val="00394EF8"/>
    <w:rPr>
      <w:caps/>
      <w:color w:val="1F4D78" w:themeColor="accent1" w:themeShade="7F"/>
      <w:spacing w:val="5"/>
    </w:rPr>
  </w:style>
  <w:style w:type="paragraph" w:styleId="afe">
    <w:name w:val="Quote"/>
    <w:basedOn w:val="a"/>
    <w:next w:val="a"/>
    <w:link w:val="Charc"/>
    <w:qFormat/>
    <w:rsid w:val="00394EF8"/>
    <w:pPr>
      <w:spacing w:before="100" w:after="200" w:line="276" w:lineRule="auto"/>
      <w:jc w:val="left"/>
    </w:pPr>
    <w:rPr>
      <w:rFonts w:eastAsiaTheme="minorEastAsia"/>
      <w:i/>
      <w:iCs/>
      <w:sz w:val="24"/>
      <w:szCs w:val="24"/>
      <w:lang w:val="en-US"/>
    </w:rPr>
  </w:style>
  <w:style w:type="character" w:customStyle="1" w:styleId="Charc">
    <w:name w:val="Απόσπασμα Char"/>
    <w:basedOn w:val="a0"/>
    <w:link w:val="afe"/>
    <w:rsid w:val="00394EF8"/>
    <w:rPr>
      <w:rFonts w:eastAsiaTheme="minorEastAsia"/>
      <w:i/>
      <w:iCs/>
      <w:sz w:val="24"/>
      <w:szCs w:val="24"/>
      <w:lang w:val="en-US"/>
    </w:rPr>
  </w:style>
  <w:style w:type="paragraph" w:styleId="aff">
    <w:name w:val="Intense Quote"/>
    <w:basedOn w:val="a"/>
    <w:next w:val="a"/>
    <w:link w:val="Chard"/>
    <w:qFormat/>
    <w:rsid w:val="00394EF8"/>
    <w:pPr>
      <w:spacing w:before="240" w:after="240" w:line="240" w:lineRule="auto"/>
      <w:ind w:left="1080" w:right="1080"/>
      <w:jc w:val="center"/>
    </w:pPr>
    <w:rPr>
      <w:rFonts w:eastAsiaTheme="minorEastAsia"/>
      <w:color w:val="5B9BD5" w:themeColor="accent1"/>
      <w:sz w:val="24"/>
      <w:szCs w:val="24"/>
      <w:lang w:val="en-US"/>
    </w:rPr>
  </w:style>
  <w:style w:type="character" w:customStyle="1" w:styleId="Chard">
    <w:name w:val="Έντονο απόσπ. Char"/>
    <w:basedOn w:val="a0"/>
    <w:link w:val="aff"/>
    <w:rsid w:val="00394EF8"/>
    <w:rPr>
      <w:rFonts w:eastAsiaTheme="minorEastAsia"/>
      <w:color w:val="5B9BD5" w:themeColor="accent1"/>
      <w:sz w:val="24"/>
      <w:szCs w:val="24"/>
      <w:lang w:val="en-US"/>
    </w:rPr>
  </w:style>
  <w:style w:type="character" w:styleId="aff0">
    <w:name w:val="Intense Emphasis"/>
    <w:qFormat/>
    <w:rsid w:val="00394EF8"/>
    <w:rPr>
      <w:b/>
      <w:bCs/>
      <w:caps/>
      <w:color w:val="1F4D78" w:themeColor="accent1" w:themeShade="7F"/>
      <w:spacing w:val="10"/>
    </w:rPr>
  </w:style>
  <w:style w:type="character" w:styleId="aff1">
    <w:name w:val="Subtle Reference"/>
    <w:qFormat/>
    <w:rsid w:val="00394EF8"/>
    <w:rPr>
      <w:b/>
      <w:bCs/>
      <w:color w:val="5B9BD5" w:themeColor="accent1"/>
    </w:rPr>
  </w:style>
  <w:style w:type="character" w:styleId="aff2">
    <w:name w:val="Book Title"/>
    <w:qFormat/>
    <w:rsid w:val="00394EF8"/>
    <w:rPr>
      <w:b/>
      <w:bCs/>
      <w:i/>
      <w:iCs/>
      <w:spacing w:val="0"/>
    </w:rPr>
  </w:style>
  <w:style w:type="table" w:customStyle="1" w:styleId="TableGrid31">
    <w:name w:val="Table Grid31"/>
    <w:rsid w:val="00394EF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rsid w:val="00394EF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Πίνακας 4 με πλέγμα - Έμφαση 11"/>
    <w:basedOn w:val="a1"/>
    <w:next w:val="4-1"/>
    <w:rsid w:val="00394EF8"/>
    <w:pPr>
      <w:spacing w:after="0" w:line="240" w:lineRule="auto"/>
    </w:pPr>
    <w:rPr>
      <w:rFonts w:eastAsiaTheme="minorEastAsia"/>
      <w:lang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
    <w:name w:val="Table Grid3"/>
    <w:rsid w:val="00394EF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Χωρίς λίστα1"/>
    <w:next w:val="a2"/>
    <w:uiPriority w:val="99"/>
    <w:semiHidden/>
    <w:unhideWhenUsed/>
    <w:rsid w:val="001E49F0"/>
  </w:style>
  <w:style w:type="character" w:customStyle="1" w:styleId="Char10">
    <w:name w:val="Θέμα σχολίου Char1"/>
    <w:basedOn w:val="Char6"/>
    <w:rsid w:val="001E49F0"/>
    <w:rPr>
      <w:rFonts w:ascii="Calibri" w:eastAsia="Calibri" w:hAnsi="Calibri" w:cs="Times New Roman"/>
      <w:b/>
      <w:bCs/>
      <w:sz w:val="20"/>
      <w:szCs w:val="20"/>
      <w:lang w:val="el-GR" w:eastAsia="ko-KR"/>
    </w:rPr>
  </w:style>
  <w:style w:type="character" w:customStyle="1" w:styleId="Char11">
    <w:name w:val="Κείμενο πλαισίου Char1"/>
    <w:basedOn w:val="a0"/>
    <w:rsid w:val="001E49F0"/>
    <w:rPr>
      <w:rFonts w:ascii="Segoe UI" w:hAnsi="Segoe UI" w:cs="Segoe UI"/>
      <w:sz w:val="18"/>
      <w:szCs w:val="18"/>
    </w:rPr>
  </w:style>
  <w:style w:type="table" w:customStyle="1" w:styleId="41">
    <w:name w:val="Πλέγμα πίνακα4"/>
    <w:basedOn w:val="a1"/>
    <w:next w:val="a3"/>
    <w:rsid w:val="001E49F0"/>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Ανεπίλυτη αναφορά1"/>
    <w:basedOn w:val="a0"/>
    <w:unhideWhenUsed/>
    <w:rsid w:val="001E49F0"/>
    <w:rPr>
      <w:color w:val="605E5C"/>
      <w:shd w:val="clear" w:color="auto" w:fill="E1DFDD"/>
    </w:rPr>
  </w:style>
  <w:style w:type="table" w:customStyle="1" w:styleId="TableGrid311">
    <w:name w:val="Table Grid311"/>
    <w:rsid w:val="001E49F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rsid w:val="001E49F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Πίνακας 4 με πλέγμα - Έμφαση 111"/>
    <w:basedOn w:val="a1"/>
    <w:next w:val="4-1"/>
    <w:rsid w:val="001E49F0"/>
    <w:pPr>
      <w:spacing w:after="0" w:line="240" w:lineRule="auto"/>
    </w:pPr>
    <w:rPr>
      <w:rFonts w:eastAsia="Times New Roman"/>
      <w:lang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
    <w:name w:val="Πίνακας 4 με πλέγμα - Έμφαση 12"/>
    <w:basedOn w:val="a1"/>
    <w:next w:val="4-1"/>
    <w:rsid w:val="001E49F0"/>
    <w:pPr>
      <w:spacing w:before="100" w:after="0" w:line="240" w:lineRule="auto"/>
    </w:pPr>
    <w:rPr>
      <w:rFonts w:eastAsia="Times New Roman"/>
      <w:sz w:val="20"/>
      <w:szCs w:val="20"/>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2">
    <w:name w:val="Table Grid32"/>
    <w:rsid w:val="001E49F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Πίνακας 4 με πλέγμα - Έμφαση 121"/>
    <w:basedOn w:val="a1"/>
    <w:next w:val="4-1"/>
    <w:uiPriority w:val="49"/>
    <w:rsid w:val="009A63F9"/>
    <w:pPr>
      <w:spacing w:after="0" w:line="240" w:lineRule="auto"/>
    </w:pPr>
    <w:rPr>
      <w:rFonts w:eastAsia="Times New Roman"/>
      <w:lang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Πίνακας 4 με πλέγμα - Έμφαση 112"/>
    <w:basedOn w:val="a1"/>
    <w:next w:val="4-1"/>
    <w:uiPriority w:val="49"/>
    <w:rsid w:val="00E3034C"/>
    <w:pPr>
      <w:spacing w:after="0" w:line="240" w:lineRule="auto"/>
    </w:pPr>
    <w:rPr>
      <w:rFonts w:eastAsia="Times New Roman"/>
      <w:lang w:eastAsia="el-G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0">
    <w:name w:val="FollowedHyperlink"/>
    <w:basedOn w:val="a0"/>
    <w:uiPriority w:val="99"/>
    <w:semiHidden/>
    <w:unhideWhenUsed/>
    <w:rsid w:val="006D3752"/>
    <w:rPr>
      <w:color w:val="954F72" w:themeColor="followedHyperlink"/>
      <w:u w:val="single"/>
    </w:rPr>
  </w:style>
  <w:style w:type="paragraph" w:customStyle="1" w:styleId="msonormal0">
    <w:name w:val="msonormal"/>
    <w:basedOn w:val="a"/>
    <w:semiHidden/>
    <w:rsid w:val="006D375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8668">
      <w:bodyDiv w:val="1"/>
      <w:marLeft w:val="0"/>
      <w:marRight w:val="0"/>
      <w:marTop w:val="0"/>
      <w:marBottom w:val="0"/>
      <w:divBdr>
        <w:top w:val="none" w:sz="0" w:space="0" w:color="auto"/>
        <w:left w:val="none" w:sz="0" w:space="0" w:color="auto"/>
        <w:bottom w:val="none" w:sz="0" w:space="0" w:color="auto"/>
        <w:right w:val="none" w:sz="0" w:space="0" w:color="auto"/>
      </w:divBdr>
      <w:divsChild>
        <w:div w:id="1189947141">
          <w:marLeft w:val="0"/>
          <w:marRight w:val="0"/>
          <w:marTop w:val="0"/>
          <w:marBottom w:val="0"/>
          <w:divBdr>
            <w:top w:val="none" w:sz="0" w:space="0" w:color="auto"/>
            <w:left w:val="none" w:sz="0" w:space="0" w:color="auto"/>
            <w:bottom w:val="none" w:sz="0" w:space="0" w:color="auto"/>
            <w:right w:val="none" w:sz="0" w:space="0" w:color="auto"/>
          </w:divBdr>
        </w:div>
        <w:div w:id="2038507797">
          <w:marLeft w:val="0"/>
          <w:marRight w:val="0"/>
          <w:marTop w:val="0"/>
          <w:marBottom w:val="0"/>
          <w:divBdr>
            <w:top w:val="none" w:sz="0" w:space="0" w:color="auto"/>
            <w:left w:val="none" w:sz="0" w:space="0" w:color="auto"/>
            <w:bottom w:val="none" w:sz="0" w:space="0" w:color="auto"/>
            <w:right w:val="none" w:sz="0" w:space="0" w:color="auto"/>
          </w:divBdr>
        </w:div>
        <w:div w:id="195244071">
          <w:marLeft w:val="0"/>
          <w:marRight w:val="0"/>
          <w:marTop w:val="0"/>
          <w:marBottom w:val="0"/>
          <w:divBdr>
            <w:top w:val="none" w:sz="0" w:space="0" w:color="auto"/>
            <w:left w:val="none" w:sz="0" w:space="0" w:color="auto"/>
            <w:bottom w:val="none" w:sz="0" w:space="0" w:color="auto"/>
            <w:right w:val="none" w:sz="0" w:space="0" w:color="auto"/>
          </w:divBdr>
        </w:div>
        <w:div w:id="1332634208">
          <w:marLeft w:val="0"/>
          <w:marRight w:val="0"/>
          <w:marTop w:val="0"/>
          <w:marBottom w:val="0"/>
          <w:divBdr>
            <w:top w:val="none" w:sz="0" w:space="0" w:color="auto"/>
            <w:left w:val="none" w:sz="0" w:space="0" w:color="auto"/>
            <w:bottom w:val="none" w:sz="0" w:space="0" w:color="auto"/>
            <w:right w:val="none" w:sz="0" w:space="0" w:color="auto"/>
          </w:divBdr>
        </w:div>
        <w:div w:id="825442082">
          <w:marLeft w:val="0"/>
          <w:marRight w:val="0"/>
          <w:marTop w:val="0"/>
          <w:marBottom w:val="0"/>
          <w:divBdr>
            <w:top w:val="none" w:sz="0" w:space="0" w:color="auto"/>
            <w:left w:val="none" w:sz="0" w:space="0" w:color="auto"/>
            <w:bottom w:val="none" w:sz="0" w:space="0" w:color="auto"/>
            <w:right w:val="none" w:sz="0" w:space="0" w:color="auto"/>
          </w:divBdr>
        </w:div>
      </w:divsChild>
    </w:div>
    <w:div w:id="1458450043">
      <w:bodyDiv w:val="1"/>
      <w:marLeft w:val="0"/>
      <w:marRight w:val="0"/>
      <w:marTop w:val="0"/>
      <w:marBottom w:val="0"/>
      <w:divBdr>
        <w:top w:val="none" w:sz="0" w:space="0" w:color="auto"/>
        <w:left w:val="none" w:sz="0" w:space="0" w:color="auto"/>
        <w:bottom w:val="none" w:sz="0" w:space="0" w:color="auto"/>
        <w:right w:val="none" w:sz="0" w:space="0" w:color="auto"/>
      </w:divBdr>
    </w:div>
    <w:div w:id="1588801896">
      <w:bodyDiv w:val="1"/>
      <w:marLeft w:val="0"/>
      <w:marRight w:val="0"/>
      <w:marTop w:val="0"/>
      <w:marBottom w:val="0"/>
      <w:divBdr>
        <w:top w:val="none" w:sz="0" w:space="0" w:color="auto"/>
        <w:left w:val="none" w:sz="0" w:space="0" w:color="auto"/>
        <w:bottom w:val="none" w:sz="0" w:space="0" w:color="auto"/>
        <w:right w:val="none" w:sz="0" w:space="0" w:color="auto"/>
      </w:divBdr>
      <w:divsChild>
        <w:div w:id="1140148732">
          <w:marLeft w:val="0"/>
          <w:marRight w:val="0"/>
          <w:marTop w:val="0"/>
          <w:marBottom w:val="0"/>
          <w:divBdr>
            <w:top w:val="none" w:sz="0" w:space="0" w:color="auto"/>
            <w:left w:val="none" w:sz="0" w:space="0" w:color="auto"/>
            <w:bottom w:val="none" w:sz="0" w:space="0" w:color="auto"/>
            <w:right w:val="none" w:sz="0" w:space="0" w:color="auto"/>
          </w:divBdr>
        </w:div>
        <w:div w:id="1568762042">
          <w:marLeft w:val="0"/>
          <w:marRight w:val="0"/>
          <w:marTop w:val="0"/>
          <w:marBottom w:val="0"/>
          <w:divBdr>
            <w:top w:val="none" w:sz="0" w:space="0" w:color="auto"/>
            <w:left w:val="none" w:sz="0" w:space="0" w:color="auto"/>
            <w:bottom w:val="none" w:sz="0" w:space="0" w:color="auto"/>
            <w:right w:val="none" w:sz="0" w:space="0" w:color="auto"/>
          </w:divBdr>
        </w:div>
        <w:div w:id="1207378178">
          <w:marLeft w:val="0"/>
          <w:marRight w:val="0"/>
          <w:marTop w:val="0"/>
          <w:marBottom w:val="0"/>
          <w:divBdr>
            <w:top w:val="none" w:sz="0" w:space="0" w:color="auto"/>
            <w:left w:val="none" w:sz="0" w:space="0" w:color="auto"/>
            <w:bottom w:val="none" w:sz="0" w:space="0" w:color="auto"/>
            <w:right w:val="none" w:sz="0" w:space="0" w:color="auto"/>
          </w:divBdr>
        </w:div>
      </w:divsChild>
    </w:div>
    <w:div w:id="2104256810">
      <w:bodyDiv w:val="1"/>
      <w:marLeft w:val="0"/>
      <w:marRight w:val="0"/>
      <w:marTop w:val="0"/>
      <w:marBottom w:val="0"/>
      <w:divBdr>
        <w:top w:val="none" w:sz="0" w:space="0" w:color="auto"/>
        <w:left w:val="none" w:sz="0" w:space="0" w:color="auto"/>
        <w:bottom w:val="none" w:sz="0" w:space="0" w:color="auto"/>
        <w:right w:val="none" w:sz="0" w:space="0" w:color="auto"/>
      </w:divBdr>
      <w:divsChild>
        <w:div w:id="2119332296">
          <w:marLeft w:val="0"/>
          <w:marRight w:val="0"/>
          <w:marTop w:val="0"/>
          <w:marBottom w:val="0"/>
          <w:divBdr>
            <w:top w:val="none" w:sz="0" w:space="0" w:color="auto"/>
            <w:left w:val="none" w:sz="0" w:space="0" w:color="auto"/>
            <w:bottom w:val="none" w:sz="0" w:space="0" w:color="auto"/>
            <w:right w:val="none" w:sz="0" w:space="0" w:color="auto"/>
          </w:divBdr>
        </w:div>
        <w:div w:id="663553078">
          <w:marLeft w:val="0"/>
          <w:marRight w:val="0"/>
          <w:marTop w:val="0"/>
          <w:marBottom w:val="0"/>
          <w:divBdr>
            <w:top w:val="none" w:sz="0" w:space="0" w:color="auto"/>
            <w:left w:val="none" w:sz="0" w:space="0" w:color="auto"/>
            <w:bottom w:val="none" w:sz="0" w:space="0" w:color="auto"/>
            <w:right w:val="none" w:sz="0" w:space="0" w:color="auto"/>
          </w:divBdr>
        </w:div>
        <w:div w:id="80832801">
          <w:marLeft w:val="0"/>
          <w:marRight w:val="0"/>
          <w:marTop w:val="0"/>
          <w:marBottom w:val="0"/>
          <w:divBdr>
            <w:top w:val="none" w:sz="0" w:space="0" w:color="auto"/>
            <w:left w:val="none" w:sz="0" w:space="0" w:color="auto"/>
            <w:bottom w:val="none" w:sz="0" w:space="0" w:color="auto"/>
            <w:right w:val="none" w:sz="0" w:space="0" w:color="auto"/>
          </w:divBdr>
        </w:div>
        <w:div w:id="1223297784">
          <w:marLeft w:val="0"/>
          <w:marRight w:val="0"/>
          <w:marTop w:val="0"/>
          <w:marBottom w:val="0"/>
          <w:divBdr>
            <w:top w:val="none" w:sz="0" w:space="0" w:color="auto"/>
            <w:left w:val="none" w:sz="0" w:space="0" w:color="auto"/>
            <w:bottom w:val="none" w:sz="0" w:space="0" w:color="auto"/>
            <w:right w:val="none" w:sz="0" w:space="0" w:color="auto"/>
          </w:divBdr>
        </w:div>
        <w:div w:id="130496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gov.uth.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th.gr/sites/default/files/contents/2023/20230222_kanonismo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th.gr/sites/default/files/contents/2023/20230222_kanonismo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Σχέδιο Κανονισμού Mεταπτυχιακών Σπουδών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5CAEFF-1FDE-46E8-A58B-62D54C14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8925</Words>
  <Characters>48199</Characters>
  <Application>Microsoft Office Word</Application>
  <DocSecurity>0</DocSecurity>
  <Lines>401</Lines>
  <Paragraphs>114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Papadopoulos Ioannis</dc:creator>
  <cp:lastModifiedBy>argyg</cp:lastModifiedBy>
  <cp:revision>6</cp:revision>
  <cp:lastPrinted>2025-04-14T18:56:00Z</cp:lastPrinted>
  <dcterms:created xsi:type="dcterms:W3CDTF">2025-05-12T17:40:00Z</dcterms:created>
  <dcterms:modified xsi:type="dcterms:W3CDTF">2025-05-12T17:42:00Z</dcterms:modified>
</cp:coreProperties>
</file>