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02" w:rsidRDefault="00F93263">
      <w:pPr>
        <w:spacing w:after="351" w:line="259" w:lineRule="auto"/>
        <w:ind w:left="49" w:right="0" w:firstLine="0"/>
        <w:jc w:val="center"/>
      </w:pPr>
      <w:r>
        <w:t xml:space="preserve"> </w:t>
      </w:r>
    </w:p>
    <w:p w:rsidR="00812002" w:rsidRDefault="00F93263">
      <w:pPr>
        <w:spacing w:after="15" w:line="259" w:lineRule="auto"/>
        <w:ind w:left="51" w:right="0" w:firstLine="0"/>
        <w:jc w:val="center"/>
      </w:pPr>
      <w:r>
        <w:rPr>
          <w:noProof/>
        </w:rPr>
        <w:drawing>
          <wp:inline distT="0" distB="0" distL="0" distR="0">
            <wp:extent cx="673608" cy="684276"/>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a:fillRect/>
                    </a:stretch>
                  </pic:blipFill>
                  <pic:spPr>
                    <a:xfrm>
                      <a:off x="0" y="0"/>
                      <a:ext cx="673608" cy="684276"/>
                    </a:xfrm>
                    <a:prstGeom prst="rect">
                      <a:avLst/>
                    </a:prstGeom>
                  </pic:spPr>
                </pic:pic>
              </a:graphicData>
            </a:graphic>
          </wp:inline>
        </w:drawing>
      </w:r>
      <w:r>
        <w:t xml:space="preserve"> </w:t>
      </w:r>
    </w:p>
    <w:p w:rsidR="00812002" w:rsidRDefault="00F93263">
      <w:pPr>
        <w:spacing w:after="80" w:line="259" w:lineRule="auto"/>
        <w:ind w:left="10" w:right="39" w:hanging="10"/>
        <w:jc w:val="center"/>
      </w:pPr>
      <w:r>
        <w:rPr>
          <w:b/>
        </w:rPr>
        <w:t xml:space="preserve">ΕΛΛΗΝΙΚΗ ΔΗΜΟΚΡΑΤΙΑ </w:t>
      </w:r>
    </w:p>
    <w:p w:rsidR="00812002" w:rsidRDefault="00F93263">
      <w:pPr>
        <w:spacing w:after="80" w:line="259" w:lineRule="auto"/>
        <w:ind w:left="10" w:right="39" w:hanging="10"/>
        <w:jc w:val="center"/>
      </w:pPr>
      <w:r>
        <w:rPr>
          <w:b/>
        </w:rPr>
        <w:t xml:space="preserve">ΠΑΝΕΠΙΣΤΗΜΙΟ ΘΕΣΣΑΛΙΑΣ </w:t>
      </w:r>
    </w:p>
    <w:p w:rsidR="001C3FDE" w:rsidRDefault="00025EEE" w:rsidP="00025EEE">
      <w:pPr>
        <w:spacing w:after="4" w:line="302" w:lineRule="auto"/>
        <w:ind w:right="1014"/>
        <w:jc w:val="left"/>
        <w:rPr>
          <w:b/>
        </w:rPr>
      </w:pPr>
      <w:r>
        <w:rPr>
          <w:b/>
        </w:rPr>
        <w:t xml:space="preserve">                         </w:t>
      </w:r>
      <w:r w:rsidR="00F93263">
        <w:rPr>
          <w:b/>
        </w:rPr>
        <w:t xml:space="preserve">ΣΧΟΛΗ ΟΙΚΟΝΟΜΙΚΩΝ ΚΑΙ ΔΙΟΙΚΗΤΙΚΩΝ ΕΠΙΣΤΗΜΩΝ </w:t>
      </w:r>
    </w:p>
    <w:p w:rsidR="00812002" w:rsidRDefault="00025EEE" w:rsidP="00025EEE">
      <w:pPr>
        <w:spacing w:after="4" w:line="302" w:lineRule="auto"/>
        <w:ind w:right="1014"/>
        <w:jc w:val="left"/>
      </w:pPr>
      <w:r>
        <w:rPr>
          <w:b/>
          <w:sz w:val="28"/>
        </w:rPr>
        <w:t xml:space="preserve">                                 </w:t>
      </w:r>
      <w:r w:rsidR="00F93263">
        <w:rPr>
          <w:b/>
          <w:sz w:val="28"/>
        </w:rPr>
        <w:t xml:space="preserve">ΤΜΗΜΑ ΔΙΟΙΚΗΣΗΣ ΕΠΙΧΕΙΡΗΣΕΩΝ </w:t>
      </w:r>
    </w:p>
    <w:p w:rsidR="00812002" w:rsidRDefault="00F93263">
      <w:pPr>
        <w:spacing w:after="80" w:line="259" w:lineRule="auto"/>
        <w:ind w:left="49" w:right="0" w:firstLine="0"/>
        <w:jc w:val="center"/>
      </w:pPr>
      <w:r>
        <w:rPr>
          <w:b/>
        </w:rPr>
        <w:t xml:space="preserve"> </w:t>
      </w:r>
    </w:p>
    <w:p w:rsidR="00D23A36" w:rsidRPr="00D23A36" w:rsidRDefault="00D23A36" w:rsidP="00D23A36">
      <w:pPr>
        <w:spacing w:after="80" w:line="259" w:lineRule="auto"/>
        <w:ind w:left="0" w:right="0" w:firstLine="0"/>
        <w:jc w:val="center"/>
        <w:rPr>
          <w:b/>
          <w:color w:val="auto"/>
          <w:szCs w:val="24"/>
          <w:lang w:eastAsia="en-US"/>
        </w:rPr>
      </w:pPr>
      <w:r w:rsidRPr="00D23A36">
        <w:rPr>
          <w:b/>
          <w:color w:val="auto"/>
          <w:szCs w:val="24"/>
          <w:lang w:eastAsia="en-US"/>
        </w:rPr>
        <w:t>ΠΜΣ: Ψηφιακή Καινοτομία και Ψηφιακός Μετασχηματισμός της Δημόσιας Διοίκησης</w:t>
      </w:r>
    </w:p>
    <w:p w:rsidR="00D23A36" w:rsidRPr="00D23A36" w:rsidRDefault="00D23A36" w:rsidP="00D23A36">
      <w:pPr>
        <w:spacing w:after="80" w:line="259" w:lineRule="auto"/>
        <w:ind w:left="0" w:right="0" w:firstLine="0"/>
        <w:jc w:val="center"/>
        <w:rPr>
          <w:b/>
          <w:color w:val="auto"/>
          <w:szCs w:val="24"/>
          <w:lang w:val="en-US" w:eastAsia="en-US"/>
        </w:rPr>
      </w:pPr>
      <w:r w:rsidRPr="00D23A36">
        <w:rPr>
          <w:b/>
          <w:color w:val="auto"/>
          <w:szCs w:val="24"/>
          <w:lang w:val="en-US" w:eastAsia="en-US"/>
        </w:rPr>
        <w:t>(MSc in Government Digital Innovation and Transformation)</w:t>
      </w:r>
    </w:p>
    <w:p w:rsidR="00812002" w:rsidRPr="00D23A36" w:rsidRDefault="00F93263">
      <w:pPr>
        <w:spacing w:after="208" w:line="259" w:lineRule="auto"/>
        <w:ind w:left="17" w:right="0" w:firstLine="0"/>
        <w:jc w:val="center"/>
        <w:rPr>
          <w:lang w:val="en-US"/>
        </w:rPr>
      </w:pPr>
      <w:r w:rsidRPr="00D23A36">
        <w:rPr>
          <w:rFonts w:ascii="Segoe UI" w:eastAsia="Segoe UI" w:hAnsi="Segoe UI" w:cs="Segoe UI"/>
          <w:lang w:val="en-US"/>
        </w:rPr>
        <w:t xml:space="preserve"> </w:t>
      </w:r>
    </w:p>
    <w:p w:rsidR="00812002" w:rsidRPr="00D23A36" w:rsidRDefault="00F93263">
      <w:pPr>
        <w:spacing w:after="154" w:line="259" w:lineRule="auto"/>
        <w:ind w:left="0" w:right="0" w:firstLine="0"/>
        <w:jc w:val="left"/>
        <w:rPr>
          <w:lang w:val="en-US"/>
        </w:rPr>
      </w:pPr>
      <w:r w:rsidRPr="00D23A36">
        <w:rPr>
          <w:rFonts w:ascii="Times New Roman" w:eastAsia="Times New Roman" w:hAnsi="Times New Roman" w:cs="Times New Roman"/>
          <w:b/>
          <w:sz w:val="40"/>
          <w:lang w:val="en-US"/>
        </w:rPr>
        <w:t xml:space="preserve"> </w:t>
      </w:r>
    </w:p>
    <w:p w:rsidR="00812002" w:rsidRPr="00D23A36" w:rsidRDefault="00F93263">
      <w:pPr>
        <w:spacing w:after="163" w:line="259" w:lineRule="auto"/>
        <w:ind w:left="95" w:right="0" w:firstLine="0"/>
        <w:jc w:val="center"/>
        <w:rPr>
          <w:lang w:val="en-US"/>
        </w:rPr>
      </w:pPr>
      <w:r w:rsidRPr="00D23A36">
        <w:rPr>
          <w:rFonts w:ascii="Times New Roman" w:eastAsia="Times New Roman" w:hAnsi="Times New Roman" w:cs="Times New Roman"/>
          <w:b/>
          <w:sz w:val="40"/>
          <w:lang w:val="en-US"/>
        </w:rPr>
        <w:t xml:space="preserve"> </w:t>
      </w:r>
    </w:p>
    <w:p w:rsidR="00812002" w:rsidRDefault="00F93263">
      <w:pPr>
        <w:spacing w:after="0" w:line="258" w:lineRule="auto"/>
        <w:ind w:left="315" w:right="230" w:firstLine="0"/>
        <w:jc w:val="center"/>
      </w:pPr>
      <w:r>
        <w:rPr>
          <w:b/>
          <w:sz w:val="40"/>
        </w:rPr>
        <w:t xml:space="preserve">ΠΟΛΙΤΙΚΗ ΠΟΙΟΤΗΤΑΣ ΤΗΣ ΑΚΑΔΗΜΑΪΚΗΣ ΜΟΝΑΔΑΣ ΓΙΑ ΤΗΝ ΑΝΑΠΤΥΞΗ ΚΑΙ ΤΗ ΒΕΛΤΙΩΣΗ ΤΟΥ </w:t>
      </w:r>
    </w:p>
    <w:p w:rsidR="00812002" w:rsidRDefault="00F93263">
      <w:pPr>
        <w:spacing w:after="164" w:line="257" w:lineRule="auto"/>
        <w:ind w:left="0" w:right="0" w:firstLine="0"/>
        <w:jc w:val="center"/>
      </w:pPr>
      <w:r>
        <w:rPr>
          <w:b/>
          <w:sz w:val="28"/>
        </w:rPr>
        <w:t xml:space="preserve">ΠΡΟΓΡΑΜΜΑΤΟΣ ΜΕΤΑΠΤΥΧΙΑΚΩΝ ΣΠΟΥΔΩΝ </w:t>
      </w:r>
    </w:p>
    <w:p w:rsidR="00812002" w:rsidRDefault="00F93263">
      <w:pPr>
        <w:spacing w:after="158" w:line="259" w:lineRule="auto"/>
        <w:ind w:left="737" w:right="0" w:firstLine="0"/>
        <w:jc w:val="left"/>
      </w:pPr>
      <w:r>
        <w:rPr>
          <w:b/>
          <w:sz w:val="28"/>
        </w:rPr>
        <w:t xml:space="preserve">« </w:t>
      </w:r>
      <w:r w:rsidR="00D23A36" w:rsidRPr="00D23A36">
        <w:rPr>
          <w:b/>
          <w:color w:val="auto"/>
          <w:szCs w:val="24"/>
          <w:lang w:eastAsia="en-US"/>
        </w:rPr>
        <w:t>Ψηφιακή Καινοτομία και Ψηφιακός Μετασχηματισμός της Δημόσιας Διοίκησης</w:t>
      </w:r>
      <w:r>
        <w:rPr>
          <w:b/>
          <w:sz w:val="28"/>
        </w:rPr>
        <w:t xml:space="preserve">» </w:t>
      </w:r>
    </w:p>
    <w:p w:rsidR="00812002" w:rsidRDefault="00F93263">
      <w:pPr>
        <w:spacing w:after="119" w:line="259" w:lineRule="auto"/>
        <w:ind w:left="2052" w:right="0" w:firstLine="0"/>
        <w:jc w:val="left"/>
      </w:pPr>
      <w:r>
        <w:rPr>
          <w:b/>
          <w:sz w:val="28"/>
        </w:rPr>
        <w:t xml:space="preserve"> (σύμφωνα με τις διατάξεις του Ν. 4957/2022) </w:t>
      </w:r>
    </w:p>
    <w:p w:rsidR="00812002" w:rsidRDefault="00F93263">
      <w:pPr>
        <w:spacing w:after="20" w:line="259" w:lineRule="auto"/>
        <w:ind w:left="808" w:right="0" w:firstLine="0"/>
        <w:jc w:val="center"/>
      </w:pPr>
      <w:r>
        <w:t xml:space="preserve"> </w:t>
      </w:r>
    </w:p>
    <w:p w:rsidR="00812002" w:rsidRDefault="00F93263">
      <w:pPr>
        <w:spacing w:after="252" w:line="259" w:lineRule="auto"/>
        <w:ind w:left="764" w:right="0" w:firstLine="0"/>
        <w:jc w:val="center"/>
      </w:pPr>
      <w:r>
        <w:rPr>
          <w:b/>
        </w:rPr>
        <w:t xml:space="preserve"> </w:t>
      </w:r>
    </w:p>
    <w:p w:rsidR="00812002" w:rsidRDefault="00F93263">
      <w:pPr>
        <w:spacing w:after="255" w:line="259" w:lineRule="auto"/>
        <w:ind w:left="764" w:right="0" w:firstLine="0"/>
        <w:jc w:val="center"/>
      </w:pPr>
      <w:r>
        <w:rPr>
          <w:b/>
        </w:rPr>
        <w:t xml:space="preserve"> </w:t>
      </w:r>
    </w:p>
    <w:p w:rsidR="00812002" w:rsidRDefault="00F93263">
      <w:pPr>
        <w:spacing w:after="255" w:line="259" w:lineRule="auto"/>
        <w:ind w:left="764" w:right="0" w:firstLine="0"/>
        <w:jc w:val="center"/>
      </w:pPr>
      <w:r>
        <w:rPr>
          <w:b/>
        </w:rPr>
        <w:t xml:space="preserve"> </w:t>
      </w:r>
    </w:p>
    <w:p w:rsidR="00812002" w:rsidRDefault="00F93263">
      <w:pPr>
        <w:spacing w:after="255" w:line="259" w:lineRule="auto"/>
        <w:ind w:left="764" w:right="0" w:firstLine="0"/>
        <w:jc w:val="center"/>
      </w:pPr>
      <w:r>
        <w:rPr>
          <w:b/>
        </w:rPr>
        <w:t xml:space="preserve"> </w:t>
      </w:r>
    </w:p>
    <w:p w:rsidR="00812002" w:rsidRDefault="00F93263">
      <w:pPr>
        <w:spacing w:after="372" w:line="259" w:lineRule="auto"/>
        <w:ind w:left="764" w:right="0" w:firstLine="0"/>
        <w:jc w:val="center"/>
      </w:pPr>
      <w:r>
        <w:rPr>
          <w:b/>
        </w:rPr>
        <w:t xml:space="preserve"> </w:t>
      </w:r>
    </w:p>
    <w:p w:rsidR="00812002" w:rsidRDefault="00160172">
      <w:pPr>
        <w:pStyle w:val="1"/>
      </w:pPr>
      <w:r>
        <w:t>ΜΑΡΤΙΟΣ</w:t>
      </w:r>
      <w:r w:rsidR="00D23A36">
        <w:t xml:space="preserve"> 202</w:t>
      </w:r>
      <w:r w:rsidR="00D23A36" w:rsidRPr="0017648B">
        <w:t>5</w:t>
      </w:r>
      <w:r w:rsidR="00F93263">
        <w:t xml:space="preserve"> </w:t>
      </w:r>
    </w:p>
    <w:p w:rsidR="00812002" w:rsidRDefault="00F93263">
      <w:pPr>
        <w:spacing w:after="0" w:line="259" w:lineRule="auto"/>
        <w:ind w:left="0" w:right="0" w:firstLine="0"/>
        <w:jc w:val="left"/>
      </w:pPr>
      <w:r>
        <w:rPr>
          <w:b/>
          <w:sz w:val="32"/>
        </w:rPr>
        <w:t xml:space="preserve"> </w:t>
      </w:r>
      <w:r>
        <w:rPr>
          <w:b/>
          <w:sz w:val="32"/>
        </w:rPr>
        <w:tab/>
        <w:t xml:space="preserve"> </w:t>
      </w:r>
    </w:p>
    <w:p w:rsidR="001C3FDE" w:rsidRDefault="001C3FDE">
      <w:pPr>
        <w:spacing w:after="160" w:line="259" w:lineRule="auto"/>
        <w:ind w:left="0" w:right="0" w:firstLine="0"/>
        <w:jc w:val="left"/>
        <w:rPr>
          <w:b/>
          <w:sz w:val="32"/>
        </w:rPr>
      </w:pPr>
      <w:r>
        <w:rPr>
          <w:b/>
          <w:sz w:val="32"/>
        </w:rPr>
        <w:br w:type="page"/>
      </w:r>
    </w:p>
    <w:p w:rsidR="00812002" w:rsidRDefault="00F93263">
      <w:pPr>
        <w:spacing w:after="0" w:line="292" w:lineRule="auto"/>
        <w:ind w:left="2429" w:right="0" w:hanging="1536"/>
        <w:jc w:val="left"/>
      </w:pPr>
      <w:r>
        <w:rPr>
          <w:b/>
          <w:sz w:val="32"/>
        </w:rPr>
        <w:lastRenderedPageBreak/>
        <w:t xml:space="preserve">ΠΟΛΙΤΙΚΗ ΠΟΙΟΤΗΤΑΣ ΤΗΣ ΑΚΑΔΗΜΑΪΚΗΣ ΜΟΝΑΔΑΣ ΓΙΑ ΤΗΝ ΑΝΑΠΤΥΞΗ ΚΑΙ ΤΗ ΒΕΛΤΙΩΣΗ ΤΩΝ ΠΜΣ </w:t>
      </w:r>
      <w:r>
        <w:t xml:space="preserve"> </w:t>
      </w:r>
    </w:p>
    <w:p w:rsidR="00812002" w:rsidRDefault="00F93263">
      <w:pPr>
        <w:spacing w:after="39" w:line="259" w:lineRule="auto"/>
        <w:ind w:left="708" w:right="0" w:firstLine="0"/>
        <w:jc w:val="left"/>
      </w:pPr>
      <w:r>
        <w:t xml:space="preserve">  </w:t>
      </w:r>
    </w:p>
    <w:p w:rsidR="00812002" w:rsidRDefault="00F93263" w:rsidP="00AC068D">
      <w:pPr>
        <w:spacing w:after="0"/>
        <w:ind w:left="284" w:right="0" w:firstLine="709"/>
      </w:pPr>
      <w:r>
        <w:t>Η Διασφάλιση Ποιότητας στην Ανώτατη Εκπαίδευση αποτελεί τον βασικό στόχο του Ευρωπαϊκού Ενιαίου Χώρου Ανώτατης Εκπαίδευσης, στον οποίο συμμετέχει και η Ελλάδα από το 2005 (Ν.3374/2005). Η πολιτική διασφάλισης ποιότητας στοχεύει στην παροχή υψηλής ποιότητας εκπαίδευσης και έρευνας από κάθε Πανεπιστημιακό Ίδρυμα στους φοιτητές/</w:t>
      </w:r>
      <w:proofErr w:type="spellStart"/>
      <w:r>
        <w:t>τριες</w:t>
      </w:r>
      <w:proofErr w:type="spellEnd"/>
      <w:r>
        <w:t>, τους οποίους/</w:t>
      </w:r>
      <w:proofErr w:type="spellStart"/>
      <w:r>
        <w:t>ες</w:t>
      </w:r>
      <w:proofErr w:type="spellEnd"/>
      <w:r>
        <w:t xml:space="preserve"> αντιμετωπίζει με υψηλό αίσθημα ευθύνης.  </w:t>
      </w:r>
    </w:p>
    <w:p w:rsidR="00812002" w:rsidRDefault="00F93263" w:rsidP="00AC068D">
      <w:pPr>
        <w:spacing w:after="0"/>
        <w:ind w:left="284" w:right="0" w:firstLine="709"/>
      </w:pPr>
      <w:r>
        <w:t xml:space="preserve">Στο Πανεπιστήμιο Θεσσαλίας (ΠΘ) έχει συσταθεί και λειτουργεί η </w:t>
      </w:r>
      <w:proofErr w:type="spellStart"/>
      <w:r>
        <w:rPr>
          <w:i/>
        </w:rPr>
        <w:t>ΜΟνάδα</w:t>
      </w:r>
      <w:proofErr w:type="spellEnd"/>
      <w:r>
        <w:rPr>
          <w:i/>
        </w:rPr>
        <w:t xml:space="preserve"> </w:t>
      </w:r>
      <w:proofErr w:type="spellStart"/>
      <w:r>
        <w:rPr>
          <w:i/>
        </w:rPr>
        <w:t>ΔΙασφάλισης</w:t>
      </w:r>
      <w:proofErr w:type="spellEnd"/>
      <w:r>
        <w:rPr>
          <w:i/>
        </w:rPr>
        <w:t xml:space="preserve"> Ποιότητας (ΜΟΔΙΠ)</w:t>
      </w:r>
      <w:r>
        <w:t xml:space="preserve">, σύμφωνα με το άρθρο 14, Ν. 4009/2011. Η ΜΟΔΙΠ είναι «το κεντρικό όργανο για τον συντονισμό και την υποστήριξη των διαδικασιών διασφάλισης ποιότητας του Πανεπιστημίου Θεσσαλίας, μέσω του </w:t>
      </w:r>
      <w:r>
        <w:rPr>
          <w:i/>
        </w:rPr>
        <w:t>Εσωτερικού Συστήματος Διασφάλισης Ποιότητας (ΕΣΔΠ)</w:t>
      </w:r>
      <w:r>
        <w:t xml:space="preserve">. Το Σύστημα Διασφάλισης Ποιότητας του ΠΘ έχει σκοπό την ανάπτυξη κουλτούρας ποιότητας στην ακαδημαϊκή κοινότητα, ώστε να μπορεί να μεταδίδει τη γνώση με αποδοτική διδασκαλία και να παράγει υψηλής στάθμης τεχνογνωσία με καινοτόμο έρευνα» (όπως αναφέρεται στην ιστοσελίδα της ΜΟΔΙΠ του ΠΘ). Μεταξύ άλλων, η ΜΟΔΙΠ αποσκοπεί στην περαιτέρω βελτίωση των δεικτών ποιότητας των ακαδημαϊκών και διοικητικών μονάδων του ΠΘ, στην παροχή κινήτρων για την προσέλκυση επιστημόνων με υψηλή κατάρτιση και διεθνή αναγνώριση, στην προώθηση της αριστείας και στη βελτίωση της θέσης των επιμέρους Ακαδημαϊκών Μονάδων, αλλά και του ΠΘ γενικότερα. Εκτός από τη ΜΟΔΙΠ, λειτουργούν σε κάθε Τμήμα και οι </w:t>
      </w:r>
      <w:r w:rsidR="0017648B">
        <w:rPr>
          <w:i/>
        </w:rPr>
        <w:t>Ομ</w:t>
      </w:r>
      <w:r>
        <w:rPr>
          <w:i/>
        </w:rPr>
        <w:t>άδες Εσωτερικής Αξιολόγησης (ΟΜΕΑ)</w:t>
      </w:r>
      <w:r>
        <w:t xml:space="preserve">, με αρμοδιότητα να διενεργούν την εσωτερική διαδικασία αξιολόγησης και να καταθέτουν στη ΜΟΔΙΠ του ΠΘ τις ετήσιες εκθέσεις αξιολόγησης. Στη συνέχεια, η ΜΟΔΙΠ εγκρίνει τις Τετραετείς Εκθέσεις Εσωτερικής Αξιολόγησης των Τμημάτων και τις υποβάλλει στην </w:t>
      </w:r>
      <w:r>
        <w:rPr>
          <w:i/>
        </w:rPr>
        <w:t>Εθνική Αρχή Ανώτατης Εκπαίδευσης (ΕΘΑΑΕ)</w:t>
      </w:r>
      <w:r>
        <w:t xml:space="preserve">, ενώ παράλληλα υποβάλλει για ενημέρωση στη Σύγκλητο του ΠΘ την Εσωτερική Έκθεση </w:t>
      </w:r>
      <w:proofErr w:type="spellStart"/>
      <w:r>
        <w:t>Αυτοαξιολόγησης</w:t>
      </w:r>
      <w:proofErr w:type="spellEnd"/>
      <w:r>
        <w:t xml:space="preserve"> του ΠΘ κάθε δύο χρόνια.  </w:t>
      </w:r>
    </w:p>
    <w:p w:rsidR="00812002" w:rsidRDefault="00F93263" w:rsidP="00AC068D">
      <w:pPr>
        <w:spacing w:after="0"/>
        <w:ind w:left="284" w:right="0" w:firstLine="709"/>
      </w:pPr>
      <w:r>
        <w:t xml:space="preserve">Το Τμήμα Διοίκησης Επιχειρήσεων (ΤΔΕ) δεσμεύεται ότι θα διασφαλίσει την ποιότητα στο σύνολο των ακαδημαϊκών, εκπαιδευτικών, διοικητικών και ερευνητικών δραστηριοτήτων. Θα προσφέρει σύγχρονα και ανταγωνιστικά προγράμματα σπουδών σε προπτυχιακό, μεταπτυχιακό και διδακτορικό επίπεδο και θα εστιάσει στην καινοτομία και την ποιότητα της εκπαίδευσης καθώς στην εφαρμοσμένη έρευνα. Το ΤΔΕ αναγνωρίζει τη συμβολή της Διασφάλισης Ποιότητας για την ισότιμη πρόσβαση στη γνώση, την εξωστρέφεια, τη διεθνή αναγνώριση και τη συνεργασία με παραγωγικούς φορείς τόσο σε τοπικό όσο και σε εθνικό επίπεδο. Απώτερος στόχος, επομένως, του ΤΔΕ είναι η επίτευξη της κατά το δυνατόν υψηλότερης ποιότητας λειτουργίας καθώς και η συνεχής βελτίωση του εκπαιδευτικού και ερευνητικού έργου που προσφέρει, σύμφωνα με τα διεθνή πρότυπα και τις βέλτιστες πρακτικές.  </w:t>
      </w:r>
    </w:p>
    <w:p w:rsidR="0017648B" w:rsidRDefault="0017648B" w:rsidP="00AC068D">
      <w:pPr>
        <w:spacing w:after="0"/>
        <w:ind w:left="284" w:right="0" w:firstLine="709"/>
      </w:pPr>
      <w:r w:rsidRPr="0017648B">
        <w:t xml:space="preserve">Το ΞΠΜΣ (Ξενόγλωσσο Πρόγραμμα Μεταπτυχιακών Σπουδών), το οποίο αναμένεται να εφαρμοστεί από το Ακαδημαϊκό Έτος 2025 – 2026, στοχεύει στην παρουσίαση στους φοιτητές </w:t>
      </w:r>
      <w:r w:rsidRPr="0017648B">
        <w:lastRenderedPageBreak/>
        <w:t xml:space="preserve">των προκλήσεων </w:t>
      </w:r>
      <w:r w:rsidRPr="0017648B">
        <w:rPr>
          <w:bCs/>
        </w:rPr>
        <w:t>που</w:t>
      </w:r>
      <w:r w:rsidRPr="0017648B">
        <w:t xml:space="preserve"> αντιμετωπίζουν οι κυβερνήσεις, αλλά και στην κατανόηση των αναδυόμενων ευκαιριών και προβλημάτων που αντιμετωπίζει η δημόσια διοίκηση στο ψηφιακό μετασχηματισμό τους. Επιπρόσθετα, επιδιώκει να τους μεταφέρει τις αναγκαίες γνώσεις που απαιτούνται για το σχεδιασμό, τη διοίκηση της υλοποίησης και τη χρήση των ψηφιακών τεχνολογιών στο δημόσιο τομέα </w:t>
      </w:r>
    </w:p>
    <w:p w:rsidR="0017648B" w:rsidRPr="0017648B" w:rsidRDefault="0017648B" w:rsidP="0017648B">
      <w:pPr>
        <w:spacing w:after="0"/>
        <w:ind w:left="284" w:right="0" w:firstLine="709"/>
      </w:pPr>
      <w:r>
        <w:t>Ο</w:t>
      </w:r>
      <w:r w:rsidRPr="0017648B">
        <w:t xml:space="preserve"> ψηφιακός μετασχηματισμός έχει κυρίως να κάνει με τη διοίκηση της αλλαγής και λιγότερο με την τεχνολογία</w:t>
      </w:r>
      <w:r>
        <w:t xml:space="preserve"> </w:t>
      </w:r>
      <w:r w:rsidRPr="0017648B">
        <w:t xml:space="preserve">, γεγονός που κάνει περισσότερο επιτακτική την ανάπτυξη των κατάλληλων εργαλείων διοίκησης. Υπ. αυτή την έννοια, ο ψηφιακός μετασχηματισμός επιχειρείται να προσεγγιστεί με μεθοδικότητα σε διεθνές, ευρωπαϊκό και εθνικό επίπεδο, με τη χάραξη και εφαρμογή αντίστοιχων στρατηγικών, ανάλογες δράσεις καταγράφονται σε εύρος πόλεων και κοινωνιών, αλλά και οργανισμών και επιχειρήσεων, ενώ χρηματοδοτούνται δράσεις μεγάλης κλίμακας και σε λιγότερο αναπτυγμένες χώρες. </w:t>
      </w:r>
    </w:p>
    <w:p w:rsidR="006559C6" w:rsidRPr="006559C6" w:rsidRDefault="00F93263" w:rsidP="006559C6">
      <w:pPr>
        <w:spacing w:after="0"/>
        <w:ind w:left="284" w:right="0" w:firstLine="709"/>
        <w:rPr>
          <w:highlight w:val="yellow"/>
        </w:rPr>
      </w:pPr>
      <w:r>
        <w:t xml:space="preserve"> Για το λόγο αυτό συνιστάται η δημιουργία νέων προγραμμάτων σπουδών από τα ΑΕΙ ή η μεταρρύθμιση των υφιστάμενων προγραμμάτων σπουδών με σκοπό την προώθηση της διεπιστημονικής μάθησης με σκοπό την εκπαίδευση του στελεχιακού δυναμικού </w:t>
      </w:r>
      <w:r w:rsidR="0017648B">
        <w:t xml:space="preserve">της ψηφιακής </w:t>
      </w:r>
      <w:r w:rsidR="0017648B" w:rsidRPr="006559C6">
        <w:t>καινοτομίας και του ψηφιακού μετασχηματισμού</w:t>
      </w:r>
      <w:r w:rsidRPr="006559C6">
        <w:t xml:space="preserve">. </w:t>
      </w:r>
      <w:r w:rsidR="006559C6" w:rsidRPr="006559C6">
        <w:t>Ως εκ τούτου, το προτεινόμενο μεταπτυχιακό πρόγραμμα, στοχεύει στην παρουσίαση στους φοιτητές των προκλήσεων που αντιμετωπίζουν οι κυβερνήσεις, αλλά και στην κατανόηση των αναδυόμενων ευκαιριών και προβλημάτων που αντιμετωπίζει η δημόσια διοίκηση στο ψηφιακό μετασχηματισμό τους. Επιπρόσθετα, επιδιώκει να τους μεταφέρει τις αναγκαίες γνώσεις που απαιτούνται για το σχεδιασμό, τη διοίκηση της υλοποίησης και τη χρήση των ψηφιακών τεχνολογιών στο δημόσιο τομέα.</w:t>
      </w:r>
    </w:p>
    <w:p w:rsidR="00812002" w:rsidRDefault="00F93263" w:rsidP="006559C6">
      <w:pPr>
        <w:spacing w:after="0"/>
        <w:ind w:left="284" w:right="0" w:firstLine="709"/>
      </w:pPr>
      <w:r>
        <w:t>Η Πολιτική Ποιότητας του ΤΔΕ εναρμονίζεται και ακολουθεί απόλυτα το πρότυπο λειτουργίας του ΠΘ, όπως αυτή διαμορφώνεται από τη ΜΟΔΙΠ. Προς αυτή την κατεύθυνση, από το πρώτο έτος της λειτουργίας του Τμήματος έχει συσταθεί η επιτροπή ΟΜΕΑ, που απαρτίζεται από τρία (3) μέλη ΔΕΠ, και είναι υπεύθυνη για τη σύνταξη των ετήσιων και των τετραετών εκθέσεων αξιολόγησης του ΤΔΕ. Στόχος της ΟΜΕΑ είναι να πιστοποιήσει την ποιότητα της παρεχόμενης εκπαιδευτικής διαδικασίας στους/</w:t>
      </w:r>
      <w:proofErr w:type="spellStart"/>
      <w:r>
        <w:t>ις</w:t>
      </w:r>
      <w:proofErr w:type="spellEnd"/>
      <w:r>
        <w:t xml:space="preserve"> φοιτητές/</w:t>
      </w:r>
      <w:proofErr w:type="spellStart"/>
      <w:r>
        <w:t>τριες</w:t>
      </w:r>
      <w:proofErr w:type="spellEnd"/>
      <w:r>
        <w:t>, όπως και το επίπεδο της ερευνητικής διαδικασίας και της διοίκησης του Τμήματος. Οι φοιτητές/</w:t>
      </w:r>
      <w:proofErr w:type="spellStart"/>
      <w:r>
        <w:t>τριες</w:t>
      </w:r>
      <w:proofErr w:type="spellEnd"/>
      <w:r>
        <w:t xml:space="preserve"> του ΤΔΕ καλούνται να απαντήσουν σε ερωτηματολόγιο το οποίο διακρίνεται σε δύο μέρη (5βάθμια κλίμακα </w:t>
      </w:r>
      <w:proofErr w:type="spellStart"/>
      <w:r>
        <w:t>Likert</w:t>
      </w:r>
      <w:proofErr w:type="spellEnd"/>
      <w:r>
        <w:t>). Το πρώτο μέρος περιλαμβάνει πέντε (5) ενότητες και πιο συγκεκριμένα: το μάθημα, τις εργασίες, τα εργαστήρια, τους διδάσκοντες και τους βοηθούς των εργαστηρίων. Το δεύτερο μέρος αποτελείται από ερωτήσεις όπου ο φοιτητής/</w:t>
      </w:r>
      <w:proofErr w:type="spellStart"/>
      <w:r>
        <w:t>τρια</w:t>
      </w:r>
      <w:proofErr w:type="spellEnd"/>
      <w:r>
        <w:t xml:space="preserve"> απαντώντας καταγράφει τις απόψεις του για τα μαθήματα και τους διδάσκοντες.  </w:t>
      </w:r>
    </w:p>
    <w:p w:rsidR="00812002" w:rsidRDefault="00F93263" w:rsidP="00AC068D">
      <w:pPr>
        <w:spacing w:after="1"/>
        <w:ind w:left="284" w:right="0" w:firstLine="709"/>
      </w:pPr>
      <w:r>
        <w:t xml:space="preserve">Η Πολιτική Ποιότητας του ΤΔΕ στηρίζεται στη φιλοσοφία της διεπιστημονικής προσέγγισης και της πολύπλευρης ποιότητας με προσήλωση στην πρόοδο της επιστήμης, τη βέλτιστη ικανοποίηση των απαιτήσεων των συμμετεχόντων, την επιστημονική αρτιότητα, την καινοτομία και την αφοσίωση στη μεταλαμπάδευση της γνώσης. </w:t>
      </w:r>
    </w:p>
    <w:p w:rsidR="00812002" w:rsidRDefault="00F93263" w:rsidP="00AC068D">
      <w:pPr>
        <w:ind w:left="284" w:right="0" w:firstLine="567"/>
      </w:pPr>
      <w:r>
        <w:t xml:space="preserve">Η προσπάθεια επίτευξης της Πολιτικής Ποιότητας του ΤΔΕ πραγματοποιείται μέσω της ετήσιας αξιολόγησης και της εσωτερικής επιθεώρησης, που ολοκληρώνονται από τα μέλη </w:t>
      </w:r>
      <w:r>
        <w:lastRenderedPageBreak/>
        <w:t xml:space="preserve">ΟΜΕΑ του Τμήματος σε συνεργασία με τη ΜΟΔΙΠ του ΠΘ. Τα μέλη της ΟΜΕΑ, συμβάλλουν στη(ν):  </w:t>
      </w:r>
    </w:p>
    <w:p w:rsidR="00812002" w:rsidRDefault="00F93263" w:rsidP="00AC068D">
      <w:pPr>
        <w:numPr>
          <w:ilvl w:val="0"/>
          <w:numId w:val="1"/>
        </w:numPr>
        <w:ind w:left="284" w:right="0" w:firstLine="709"/>
      </w:pPr>
      <w:r>
        <w:t xml:space="preserve">παρακολούθηση της εφαρμογής των στόχων ποιότητας του Τμήματος  </w:t>
      </w:r>
    </w:p>
    <w:p w:rsidR="00812002" w:rsidRDefault="00F93263" w:rsidP="00AC068D">
      <w:pPr>
        <w:numPr>
          <w:ilvl w:val="0"/>
          <w:numId w:val="1"/>
        </w:numPr>
        <w:ind w:left="284" w:right="0" w:firstLine="709"/>
      </w:pPr>
      <w:r>
        <w:t xml:space="preserve">εναρμόνιση της πολιτικής ποιότητας με τους γενικότερους στρατηγικούς στόχους του Τμήματος και του Ιδρύματος  </w:t>
      </w:r>
    </w:p>
    <w:p w:rsidR="00812002" w:rsidRDefault="00F93263" w:rsidP="00AC068D">
      <w:pPr>
        <w:numPr>
          <w:ilvl w:val="0"/>
          <w:numId w:val="1"/>
        </w:numPr>
        <w:ind w:left="284" w:right="0" w:firstLine="709"/>
      </w:pPr>
      <w:r>
        <w:t xml:space="preserve">λήψη αποφάσεων για τη συνεχή βελτίωση της ποιότητας του προσφερόμενου έργου του ΤΔΕ  </w:t>
      </w:r>
    </w:p>
    <w:p w:rsidR="00812002" w:rsidRDefault="00F93263" w:rsidP="00AC068D">
      <w:pPr>
        <w:numPr>
          <w:ilvl w:val="0"/>
          <w:numId w:val="1"/>
        </w:numPr>
        <w:ind w:left="284" w:right="0" w:firstLine="709"/>
      </w:pPr>
      <w:r>
        <w:t xml:space="preserve">διεξαγωγή της Εσωτερικής Αξιολόγησης και στην εποικοδομητική συνεργασία με τη Μονάδα Διασφάλισης Ποιότητας του ΠΘ  </w:t>
      </w:r>
    </w:p>
    <w:p w:rsidR="00812002" w:rsidRDefault="00F93263" w:rsidP="00AC068D">
      <w:pPr>
        <w:numPr>
          <w:ilvl w:val="0"/>
          <w:numId w:val="1"/>
        </w:numPr>
        <w:ind w:left="284" w:right="0" w:firstLine="709"/>
      </w:pPr>
      <w:r>
        <w:t xml:space="preserve">ικανοποίηση των προσδοκιών και των απαιτήσεων όλων των ενδιαφερόμενων μερών  </w:t>
      </w:r>
    </w:p>
    <w:p w:rsidR="00812002" w:rsidRDefault="00F93263" w:rsidP="00AC068D">
      <w:pPr>
        <w:spacing w:after="1"/>
        <w:ind w:left="284" w:right="0" w:firstLine="709"/>
      </w:pPr>
      <w:r>
        <w:t>Για τον λόγο αυτό, η Πολιτική Ποιότητας θα δημοσιεύεται στην ηλεκτρονική σελίδα του Τμήματος και του ΠΜΣ και θα ενημερώνονται όλοι οι εμπλεκόμενοι φορείς (τοπική κοινωνία, προσωπικό, εξωτερικοί συνεργάτες, φοιτητές/</w:t>
      </w:r>
      <w:proofErr w:type="spellStart"/>
      <w:r>
        <w:t>τριες</w:t>
      </w:r>
      <w:proofErr w:type="spellEnd"/>
      <w:r>
        <w:t xml:space="preserve"> όλων των επιπέδων, Ακαδημαϊκή κοινότητα εν γένει, και άλλοι), ώστε να εξασφαλίζεται η συναίνεση και η άμεση εμπλοκή στις διαδικασίες που αναφέρονται στο σύστημα ποιότητας.  </w:t>
      </w:r>
    </w:p>
    <w:p w:rsidR="00812002" w:rsidRDefault="00F93263" w:rsidP="00AC068D">
      <w:pPr>
        <w:spacing w:after="0"/>
        <w:ind w:left="284" w:right="0" w:firstLine="709"/>
      </w:pPr>
      <w:r>
        <w:t xml:space="preserve">Η Πολιτική Διασφάλισης Ποιότητας του ΤΔΕ θα πραγματοποιείται στη βάση των διεθνών προτύπων ποιότητας – δύναται να εφαρμόζονται και οι αρχές του </w:t>
      </w:r>
      <w:r>
        <w:rPr>
          <w:i/>
        </w:rPr>
        <w:t>Κοινού Πλαισίου Αξιολόγησης</w:t>
      </w:r>
      <w:r>
        <w:t xml:space="preserve"> για την εκπαίδευση  </w:t>
      </w:r>
    </w:p>
    <w:p w:rsidR="00812002" w:rsidRDefault="00B076D1" w:rsidP="00AC068D">
      <w:pPr>
        <w:spacing w:after="0"/>
        <w:ind w:left="284" w:right="0" w:firstLine="709"/>
      </w:pPr>
      <w:hyperlink r:id="rId8">
        <w:r w:rsidR="00F93263">
          <w:rPr>
            <w:color w:val="0000FF"/>
            <w:u w:val="single" w:color="0000FF"/>
          </w:rPr>
          <w:t>https://www.respaweb.eu/files/user/docs/CAF/CAF%20Education%202013.pd</w:t>
        </w:r>
      </w:hyperlink>
      <w:hyperlink r:id="rId9">
        <w:r w:rsidR="00F93263">
          <w:rPr>
            <w:color w:val="0000FF"/>
            <w:u w:val="single" w:color="0000FF"/>
          </w:rPr>
          <w:t>f</w:t>
        </w:r>
      </w:hyperlink>
      <w:hyperlink r:id="rId10">
        <w:r w:rsidR="00F93263">
          <w:t xml:space="preserve"> </w:t>
        </w:r>
      </w:hyperlink>
      <w:r w:rsidR="00F93263">
        <w:t xml:space="preserve">– και εναρμονίζεται με την πολιτική ποιότητας του ΠΘ. Συντάσσεται με τους στρατηγικούς στόχους του ΤΔΕ σε όλα τα επίπεδα, υποστηρίζεται ενεργά από όλους τους συμμετέχοντες στην εκπαιδευτική διαδικασία, εξειδικεύεται και αξιολογείται μέσω της </w:t>
      </w:r>
      <w:proofErr w:type="spellStart"/>
      <w:r w:rsidR="00F93263">
        <w:t>στοχοθεσίας</w:t>
      </w:r>
      <w:proofErr w:type="spellEnd"/>
      <w:r w:rsidR="00F93263">
        <w:t xml:space="preserve">.  </w:t>
      </w:r>
    </w:p>
    <w:p w:rsidR="00812002" w:rsidRDefault="00F93263" w:rsidP="00AC068D">
      <w:pPr>
        <w:ind w:left="284" w:right="0" w:firstLine="709"/>
      </w:pPr>
      <w:r>
        <w:t xml:space="preserve">Ως εκ τούτου, το ΤΔΕ </w:t>
      </w:r>
      <w:r w:rsidR="00DC5528">
        <w:t>και κατ’ επέκταση του ΠΜΣ εφαρμόζει</w:t>
      </w:r>
      <w:r>
        <w:t xml:space="preserve"> συγκεκριμένες διαδικασίες προς αυτή την κατεύθυνση, όπως αναφέρονται παρακάτω:  </w:t>
      </w:r>
    </w:p>
    <w:p w:rsidR="00812002" w:rsidRDefault="00F93263" w:rsidP="00AC068D">
      <w:pPr>
        <w:numPr>
          <w:ilvl w:val="0"/>
          <w:numId w:val="2"/>
        </w:numPr>
        <w:ind w:left="284" w:right="0" w:firstLine="709"/>
      </w:pPr>
      <w:r>
        <w:t xml:space="preserve">δίνεται έμφαση στο </w:t>
      </w:r>
      <w:proofErr w:type="spellStart"/>
      <w:r>
        <w:t>φοιτητοκεντρικό</w:t>
      </w:r>
      <w:proofErr w:type="spellEnd"/>
      <w:r>
        <w:t xml:space="preserve"> μοντέλο μάθησης και επιδιώκεται τα μαθησιακά αποτελέσματα να είναι σύμφωνα με το Εθνικό και το Ευρωπαϊκό Πλαίσιο Προσόντων Ανώτατης Εκπαίδευσης  </w:t>
      </w:r>
    </w:p>
    <w:p w:rsidR="00812002" w:rsidRDefault="00F93263" w:rsidP="00AC068D">
      <w:pPr>
        <w:numPr>
          <w:ilvl w:val="0"/>
          <w:numId w:val="2"/>
        </w:numPr>
        <w:ind w:left="284" w:right="0" w:firstLine="709"/>
      </w:pPr>
      <w:r>
        <w:t xml:space="preserve">εφαρμόζονται οι αρχές του Συστήματος Διοίκησης και Διασφάλισης Ποιότητας  </w:t>
      </w:r>
    </w:p>
    <w:p w:rsidR="00812002" w:rsidRDefault="00F93263" w:rsidP="00AC068D">
      <w:pPr>
        <w:numPr>
          <w:ilvl w:val="0"/>
          <w:numId w:val="2"/>
        </w:numPr>
        <w:ind w:left="284" w:right="0" w:firstLine="709"/>
      </w:pPr>
      <w:r>
        <w:t xml:space="preserve">ικανοποιούνται οι ανάγκες του ανθρώπινου δυναμικού, το οποίο συμμετέχει ενεργά στη λήψη αποφάσεων  </w:t>
      </w:r>
    </w:p>
    <w:p w:rsidR="00812002" w:rsidRDefault="00F93263" w:rsidP="00AC068D">
      <w:pPr>
        <w:numPr>
          <w:ilvl w:val="0"/>
          <w:numId w:val="2"/>
        </w:numPr>
        <w:ind w:left="284" w:right="0" w:firstLine="709"/>
      </w:pPr>
      <w:r>
        <w:t xml:space="preserve">προωθείται η ποιότητα αλλά και το εν γένει ερευνητικό και συγγραφικό έργο των μελών ΔΕΠ του ΤΔΕ και των διδασκόντων στο ΠΜΣ  </w:t>
      </w:r>
    </w:p>
    <w:p w:rsidR="00812002" w:rsidRDefault="00F93263" w:rsidP="00AC068D">
      <w:pPr>
        <w:numPr>
          <w:ilvl w:val="0"/>
          <w:numId w:val="2"/>
        </w:numPr>
        <w:ind w:left="284" w:right="0" w:firstLine="709"/>
      </w:pPr>
      <w:r>
        <w:t xml:space="preserve">συνδέεται η διδασκαλία με την έρευνα, ώστε να βελτιώνονται τα προσόντα των πτυχιούχων και να ανταποκρίνονται στις απαιτήσεις της αγοράς εργασίας  </w:t>
      </w:r>
    </w:p>
    <w:p w:rsidR="00812002" w:rsidRDefault="00F93263" w:rsidP="00AC068D">
      <w:pPr>
        <w:numPr>
          <w:ilvl w:val="0"/>
          <w:numId w:val="2"/>
        </w:numPr>
        <w:ind w:left="284" w:right="0" w:firstLine="709"/>
      </w:pPr>
      <w:r>
        <w:t xml:space="preserve">διενεργείται ετήσια αξιολόγηση και υπάρχει η απαραίτητη ανατροφοδότηση σε συνεργασία της ΟΜΕΑ του Τμήματος με τη ΜΟΔΙΠ του ΠΘ  </w:t>
      </w:r>
    </w:p>
    <w:p w:rsidR="00812002" w:rsidRDefault="00F93263" w:rsidP="00AC068D">
      <w:pPr>
        <w:numPr>
          <w:ilvl w:val="0"/>
          <w:numId w:val="2"/>
        </w:numPr>
        <w:ind w:left="284" w:right="0" w:firstLine="709"/>
      </w:pPr>
      <w:r>
        <w:t xml:space="preserve">υπάρχει διαφάνεια σε όλες τις δράσεις του ΤΔΕ </w:t>
      </w:r>
    </w:p>
    <w:p w:rsidR="00812002" w:rsidRDefault="00F93263" w:rsidP="00AC068D">
      <w:pPr>
        <w:numPr>
          <w:ilvl w:val="0"/>
          <w:numId w:val="2"/>
        </w:numPr>
        <w:ind w:left="284" w:right="0" w:firstLine="709"/>
      </w:pPr>
      <w:r>
        <w:t xml:space="preserve">εφαρμόζονται κανόνες δεοντολογίας και αποτρέπονται οι κάθε είδους διακρίσεις  </w:t>
      </w:r>
    </w:p>
    <w:p w:rsidR="00812002" w:rsidRDefault="00F93263" w:rsidP="00AC068D">
      <w:pPr>
        <w:numPr>
          <w:ilvl w:val="0"/>
          <w:numId w:val="2"/>
        </w:numPr>
        <w:ind w:left="284" w:right="0" w:firstLine="709"/>
      </w:pPr>
      <w:r>
        <w:lastRenderedPageBreak/>
        <w:t xml:space="preserve">θα επιδιώκεται η συνεχής βελτίωση της εκπαιδευτικής δραστηριότητας του Τμήματος  </w:t>
      </w:r>
    </w:p>
    <w:p w:rsidR="00812002" w:rsidRDefault="00F93263" w:rsidP="00AC068D">
      <w:pPr>
        <w:numPr>
          <w:ilvl w:val="0"/>
          <w:numId w:val="2"/>
        </w:numPr>
        <w:ind w:left="284" w:right="0" w:firstLine="709"/>
      </w:pPr>
      <w:r>
        <w:t>βελτιώνονται όλες οι παροχές προς του φοιτητές/</w:t>
      </w:r>
      <w:proofErr w:type="spellStart"/>
      <w:r>
        <w:t>τριες</w:t>
      </w:r>
      <w:proofErr w:type="spellEnd"/>
      <w:r>
        <w:t xml:space="preserve">  </w:t>
      </w:r>
    </w:p>
    <w:p w:rsidR="00812002" w:rsidRDefault="00F93263" w:rsidP="00AC068D">
      <w:pPr>
        <w:numPr>
          <w:ilvl w:val="0"/>
          <w:numId w:val="2"/>
        </w:numPr>
        <w:spacing w:after="2"/>
        <w:ind w:left="284" w:right="0" w:firstLine="709"/>
      </w:pPr>
      <w:r>
        <w:t xml:space="preserve">αξιολογούνται τα τυπικά και ουσιαστικά προσόντα του διδακτικού προσωπικού του Τμήματος  </w:t>
      </w:r>
    </w:p>
    <w:p w:rsidR="00812002" w:rsidRDefault="00F93263" w:rsidP="00AC068D">
      <w:pPr>
        <w:ind w:left="284" w:right="0" w:firstLine="709"/>
      </w:pPr>
      <w:r w:rsidRPr="008F0F71">
        <w:t>Τέλος, η πολιτική διασφά</w:t>
      </w:r>
      <w:r w:rsidR="00511F73" w:rsidRPr="008F0F71">
        <w:t xml:space="preserve">λισης ποιότητας του ΤΔΕ-ΠΜΣ </w:t>
      </w:r>
      <w:r w:rsidRPr="008F0F71">
        <w:t xml:space="preserve">θα </w:t>
      </w:r>
      <w:proofErr w:type="spellStart"/>
      <w:r w:rsidRPr="008F0F71">
        <w:t>επικοινωνείται</w:t>
      </w:r>
      <w:proofErr w:type="spellEnd"/>
      <w:r w:rsidRPr="008F0F71">
        <w:t xml:space="preserve"> σε όλα τα εμπλεκόμενα μέλη (φοιτητές/</w:t>
      </w:r>
      <w:proofErr w:type="spellStart"/>
      <w:r w:rsidRPr="008F0F71">
        <w:t>τριες</w:t>
      </w:r>
      <w:proofErr w:type="spellEnd"/>
      <w:r w:rsidRPr="008F0F71">
        <w:t xml:space="preserve"> όλων των επιπέδων, διδακτικό προσωπικό, διοικητικό προσωπικό, Σύγκλητος του ΠΘ, μέλη του ΠΘ, ΕΘΑΕ), ώστε να συμ</w:t>
      </w:r>
      <w:r w:rsidR="00511F73" w:rsidRPr="008F0F71">
        <w:t xml:space="preserve">βάλλουν σε αυτή τη διαδικασία και θα αναρτηθεί στο </w:t>
      </w:r>
      <w:r w:rsidR="00511F73" w:rsidRPr="008F0F71">
        <w:rPr>
          <w:lang w:val="en-US"/>
        </w:rPr>
        <w:t>site</w:t>
      </w:r>
      <w:r w:rsidR="00C440D8" w:rsidRPr="008F0F71">
        <w:t xml:space="preserve"> του ΠΜΣ-</w:t>
      </w:r>
      <w:r w:rsidR="00B60ACF" w:rsidRPr="008F0F71">
        <w:t xml:space="preserve"> </w:t>
      </w:r>
      <w:hyperlink r:id="rId11" w:history="1">
        <w:r w:rsidR="00B60ACF" w:rsidRPr="008F0F71">
          <w:rPr>
            <w:rStyle w:val="-"/>
            <w:rFonts w:cs="Calibri"/>
          </w:rPr>
          <w:t>https://de.uth.gr/msc-in-government-digital-innovation-and-transformation/</w:t>
        </w:r>
      </w:hyperlink>
    </w:p>
    <w:p w:rsidR="00B60ACF" w:rsidRDefault="00B60ACF" w:rsidP="00AC068D">
      <w:pPr>
        <w:ind w:left="284" w:right="0" w:firstLine="709"/>
      </w:pPr>
    </w:p>
    <w:p w:rsidR="00B60ACF" w:rsidRPr="00511F73" w:rsidRDefault="00B60ACF" w:rsidP="00AC068D">
      <w:pPr>
        <w:ind w:left="284" w:right="0" w:firstLine="709"/>
      </w:pPr>
      <w:bookmarkStart w:id="0" w:name="_GoBack"/>
      <w:bookmarkEnd w:id="0"/>
    </w:p>
    <w:sectPr w:rsidR="00B60ACF" w:rsidRPr="00511F73">
      <w:footerReference w:type="even" r:id="rId12"/>
      <w:footerReference w:type="default" r:id="rId13"/>
      <w:footerReference w:type="first" r:id="rId14"/>
      <w:pgSz w:w="11906" w:h="16838"/>
      <w:pgMar w:top="1178" w:right="1267" w:bottom="1422" w:left="1133" w:header="720" w:footer="7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6D1" w:rsidRDefault="00B076D1">
      <w:pPr>
        <w:spacing w:after="0" w:line="240" w:lineRule="auto"/>
      </w:pPr>
      <w:r>
        <w:separator/>
      </w:r>
    </w:p>
  </w:endnote>
  <w:endnote w:type="continuationSeparator" w:id="0">
    <w:p w:rsidR="00B076D1" w:rsidRDefault="00B0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02" w:rsidRDefault="00F93263">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rsidR="00812002" w:rsidRDefault="00F93263">
    <w:pPr>
      <w:spacing w:after="0" w:line="259" w:lineRule="auto"/>
      <w:ind w:left="1419"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02" w:rsidRDefault="00F93263">
    <w:pPr>
      <w:spacing w:after="0" w:line="259" w:lineRule="auto"/>
      <w:ind w:left="0" w:firstLine="0"/>
      <w:jc w:val="right"/>
    </w:pPr>
    <w:r>
      <w:fldChar w:fldCharType="begin"/>
    </w:r>
    <w:r>
      <w:instrText xml:space="preserve"> PAGE   \* MERGEFORMAT </w:instrText>
    </w:r>
    <w:r>
      <w:fldChar w:fldCharType="separate"/>
    </w:r>
    <w:r w:rsidR="008F0F71">
      <w:rPr>
        <w:noProof/>
      </w:rPr>
      <w:t>4</w:t>
    </w:r>
    <w:r>
      <w:fldChar w:fldCharType="end"/>
    </w:r>
    <w:r>
      <w:t xml:space="preserve"> </w:t>
    </w:r>
  </w:p>
  <w:p w:rsidR="00812002" w:rsidRDefault="00F93263">
    <w:pPr>
      <w:spacing w:after="0" w:line="259" w:lineRule="auto"/>
      <w:ind w:left="1419"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02" w:rsidRDefault="00F93263">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rsidR="00812002" w:rsidRDefault="00F93263">
    <w:pPr>
      <w:spacing w:after="0" w:line="259" w:lineRule="auto"/>
      <w:ind w:left="1419" w:righ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6D1" w:rsidRDefault="00B076D1">
      <w:pPr>
        <w:spacing w:after="0" w:line="240" w:lineRule="auto"/>
      </w:pPr>
      <w:r>
        <w:separator/>
      </w:r>
    </w:p>
  </w:footnote>
  <w:footnote w:type="continuationSeparator" w:id="0">
    <w:p w:rsidR="00B076D1" w:rsidRDefault="00B07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E755D"/>
    <w:multiLevelType w:val="hybridMultilevel"/>
    <w:tmpl w:val="866A22C8"/>
    <w:lvl w:ilvl="0" w:tplc="D9C4DD32">
      <w:start w:val="1"/>
      <w:numFmt w:val="bullet"/>
      <w:lvlText w:val="•"/>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F40BC0">
      <w:start w:val="1"/>
      <w:numFmt w:val="bullet"/>
      <w:lvlText w:val="o"/>
      <w:lvlJc w:val="left"/>
      <w:pPr>
        <w:ind w:left="1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BCA7DE">
      <w:start w:val="1"/>
      <w:numFmt w:val="bullet"/>
      <w:lvlText w:val="▪"/>
      <w:lvlJc w:val="left"/>
      <w:pPr>
        <w:ind w:left="2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C93C8">
      <w:start w:val="1"/>
      <w:numFmt w:val="bullet"/>
      <w:lvlText w:val="•"/>
      <w:lvlJc w:val="left"/>
      <w:pPr>
        <w:ind w:left="2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BAFAE0">
      <w:start w:val="1"/>
      <w:numFmt w:val="bullet"/>
      <w:lvlText w:val="o"/>
      <w:lvlJc w:val="left"/>
      <w:pPr>
        <w:ind w:left="3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9427E2">
      <w:start w:val="1"/>
      <w:numFmt w:val="bullet"/>
      <w:lvlText w:val="▪"/>
      <w:lvlJc w:val="left"/>
      <w:pPr>
        <w:ind w:left="4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E10DA">
      <w:start w:val="1"/>
      <w:numFmt w:val="bullet"/>
      <w:lvlText w:val="•"/>
      <w:lvlJc w:val="left"/>
      <w:pPr>
        <w:ind w:left="5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27B8C">
      <w:start w:val="1"/>
      <w:numFmt w:val="bullet"/>
      <w:lvlText w:val="o"/>
      <w:lvlJc w:val="left"/>
      <w:pPr>
        <w:ind w:left="5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0CE128">
      <w:start w:val="1"/>
      <w:numFmt w:val="bullet"/>
      <w:lvlText w:val="▪"/>
      <w:lvlJc w:val="left"/>
      <w:pPr>
        <w:ind w:left="6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592B0D"/>
    <w:multiLevelType w:val="hybridMultilevel"/>
    <w:tmpl w:val="7F78B1BC"/>
    <w:lvl w:ilvl="0" w:tplc="2F043800">
      <w:start w:val="1"/>
      <w:numFmt w:val="bullet"/>
      <w:lvlText w:val="•"/>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40DF6A">
      <w:start w:val="1"/>
      <w:numFmt w:val="bullet"/>
      <w:lvlText w:val="o"/>
      <w:lvlJc w:val="left"/>
      <w:pPr>
        <w:ind w:left="1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E4C1E4">
      <w:start w:val="1"/>
      <w:numFmt w:val="bullet"/>
      <w:lvlText w:val="▪"/>
      <w:lvlJc w:val="left"/>
      <w:pPr>
        <w:ind w:left="2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AE0C04">
      <w:start w:val="1"/>
      <w:numFmt w:val="bullet"/>
      <w:lvlText w:val="•"/>
      <w:lvlJc w:val="left"/>
      <w:pPr>
        <w:ind w:left="2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3CF2C8">
      <w:start w:val="1"/>
      <w:numFmt w:val="bullet"/>
      <w:lvlText w:val="o"/>
      <w:lvlJc w:val="left"/>
      <w:pPr>
        <w:ind w:left="3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DC4368">
      <w:start w:val="1"/>
      <w:numFmt w:val="bullet"/>
      <w:lvlText w:val="▪"/>
      <w:lvlJc w:val="left"/>
      <w:pPr>
        <w:ind w:left="4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CCE5F0">
      <w:start w:val="1"/>
      <w:numFmt w:val="bullet"/>
      <w:lvlText w:val="•"/>
      <w:lvlJc w:val="left"/>
      <w:pPr>
        <w:ind w:left="5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D81EC6">
      <w:start w:val="1"/>
      <w:numFmt w:val="bullet"/>
      <w:lvlText w:val="o"/>
      <w:lvlJc w:val="left"/>
      <w:pPr>
        <w:ind w:left="5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34A1F2">
      <w:start w:val="1"/>
      <w:numFmt w:val="bullet"/>
      <w:lvlText w:val="▪"/>
      <w:lvlJc w:val="left"/>
      <w:pPr>
        <w:ind w:left="6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02"/>
    <w:rsid w:val="00025EEE"/>
    <w:rsid w:val="00160172"/>
    <w:rsid w:val="0017648B"/>
    <w:rsid w:val="001C3FDE"/>
    <w:rsid w:val="00261F6B"/>
    <w:rsid w:val="003E4D59"/>
    <w:rsid w:val="00476717"/>
    <w:rsid w:val="00511F73"/>
    <w:rsid w:val="00574163"/>
    <w:rsid w:val="006559C6"/>
    <w:rsid w:val="00812002"/>
    <w:rsid w:val="00835196"/>
    <w:rsid w:val="008F0F71"/>
    <w:rsid w:val="00AC068D"/>
    <w:rsid w:val="00B076D1"/>
    <w:rsid w:val="00B60ACF"/>
    <w:rsid w:val="00BD5F92"/>
    <w:rsid w:val="00BE35DB"/>
    <w:rsid w:val="00C440D8"/>
    <w:rsid w:val="00D23A36"/>
    <w:rsid w:val="00DC5528"/>
    <w:rsid w:val="00EE01B3"/>
    <w:rsid w:val="00F932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0717"/>
  <w15:docId w15:val="{040BF3A6-A373-4D17-886F-1D621221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88" w:lineRule="auto"/>
      <w:ind w:left="1073" w:right="6" w:hanging="365"/>
      <w:jc w:val="both"/>
    </w:pPr>
    <w:rPr>
      <w:rFonts w:ascii="Calibri" w:eastAsia="Calibri" w:hAnsi="Calibri" w:cs="Calibri"/>
      <w:color w:val="000000"/>
      <w:sz w:val="24"/>
    </w:rPr>
  </w:style>
  <w:style w:type="paragraph" w:styleId="1">
    <w:name w:val="heading 1"/>
    <w:next w:val="a"/>
    <w:link w:val="1Char"/>
    <w:uiPriority w:val="9"/>
    <w:unhideWhenUsed/>
    <w:qFormat/>
    <w:pPr>
      <w:keepNext/>
      <w:keepLines/>
      <w:spacing w:after="235"/>
      <w:ind w:left="708"/>
      <w:jc w:val="center"/>
      <w:outlineLvl w:val="0"/>
    </w:pPr>
    <w:rPr>
      <w:rFonts w:ascii="Calibri" w:eastAsia="Calibri" w:hAnsi="Calibri" w:cs="Calibri"/>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36"/>
    </w:rPr>
  </w:style>
  <w:style w:type="character" w:styleId="-">
    <w:name w:val="Hyperlink"/>
    <w:basedOn w:val="a0"/>
    <w:uiPriority w:val="99"/>
    <w:rsid w:val="0017648B"/>
    <w:rPr>
      <w:rFonts w:cs="Times New Roman"/>
      <w:color w:val="0000FF"/>
      <w:u w:val="single"/>
    </w:rPr>
  </w:style>
  <w:style w:type="paragraph" w:styleId="a3">
    <w:name w:val="footnote text"/>
    <w:basedOn w:val="a"/>
    <w:link w:val="Char"/>
    <w:uiPriority w:val="99"/>
    <w:semiHidden/>
    <w:unhideWhenUsed/>
    <w:rsid w:val="0017648B"/>
    <w:pPr>
      <w:spacing w:after="0" w:line="240" w:lineRule="auto"/>
      <w:ind w:left="0" w:right="0" w:firstLine="0"/>
    </w:pPr>
    <w:rPr>
      <w:rFonts w:ascii="Times New Roman" w:eastAsia="Batang" w:hAnsi="Times New Roman" w:cs="Times New Roman"/>
      <w:color w:val="auto"/>
      <w:sz w:val="20"/>
      <w:szCs w:val="20"/>
      <w:lang w:eastAsia="ko-KR"/>
    </w:rPr>
  </w:style>
  <w:style w:type="character" w:customStyle="1" w:styleId="Char">
    <w:name w:val="Κείμενο υποσημείωσης Char"/>
    <w:basedOn w:val="a0"/>
    <w:link w:val="a3"/>
    <w:uiPriority w:val="99"/>
    <w:semiHidden/>
    <w:rsid w:val="0017648B"/>
    <w:rPr>
      <w:rFonts w:ascii="Times New Roman" w:eastAsia="Batang" w:hAnsi="Times New Roman" w:cs="Times New Roman"/>
      <w:sz w:val="20"/>
      <w:szCs w:val="20"/>
      <w:lang w:eastAsia="ko-KR"/>
    </w:rPr>
  </w:style>
  <w:style w:type="character" w:styleId="a4">
    <w:name w:val="footnote reference"/>
    <w:uiPriority w:val="99"/>
    <w:semiHidden/>
    <w:unhideWhenUsed/>
    <w:rsid w:val="0017648B"/>
    <w:rPr>
      <w:vertAlign w:val="superscript"/>
    </w:rPr>
  </w:style>
  <w:style w:type="character" w:styleId="-0">
    <w:name w:val="FollowedHyperlink"/>
    <w:basedOn w:val="a0"/>
    <w:uiPriority w:val="99"/>
    <w:semiHidden/>
    <w:unhideWhenUsed/>
    <w:rsid w:val="00B60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aweb.eu/files/user/docs/CAF/CAF%20Education%20201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uth.gr/msc-in-government-digital-innovation-and-transform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paweb.eu/files/user/docs/CAF/CAF%20Education%202013.pdf" TargetMode="External"/><Relationship Id="rId4" Type="http://schemas.openxmlformats.org/officeDocument/2006/relationships/webSettings" Target="webSettings.xml"/><Relationship Id="rId9" Type="http://schemas.openxmlformats.org/officeDocument/2006/relationships/hyperlink" Target="https://www.respaweb.eu/files/user/docs/CAF/CAF%20Education%202013.pdf" TargetMode="Externa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1583</Words>
  <Characters>8554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 SECRETARY</dc:creator>
  <cp:keywords/>
  <cp:lastModifiedBy>argyg</cp:lastModifiedBy>
  <cp:revision>16</cp:revision>
  <cp:lastPrinted>2024-09-04T16:09:00Z</cp:lastPrinted>
  <dcterms:created xsi:type="dcterms:W3CDTF">2024-09-03T20:29:00Z</dcterms:created>
  <dcterms:modified xsi:type="dcterms:W3CDTF">2025-04-11T18:06:00Z</dcterms:modified>
</cp:coreProperties>
</file>